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9258" w14:textId="79241337" w:rsidR="000B2B3B" w:rsidRPr="0000171F" w:rsidRDefault="00743F9E" w:rsidP="004372FF">
      <w:pPr>
        <w:spacing w:before="120" w:after="120" w:line="240" w:lineRule="auto"/>
        <w:jc w:val="both"/>
        <w:rPr>
          <w:rFonts w:ascii="Calibri" w:hAnsi="Calibri" w:cs="Calibri"/>
          <w:b/>
          <w:sz w:val="28"/>
          <w:szCs w:val="28"/>
        </w:rPr>
      </w:pPr>
      <w:r>
        <w:rPr>
          <w:rFonts w:ascii="Calibri" w:hAnsi="Calibri" w:cs="Calibri"/>
          <w:b/>
          <w:sz w:val="28"/>
          <w:szCs w:val="28"/>
        </w:rPr>
        <w:t>Exe.</w:t>
      </w:r>
      <w:r w:rsidR="000B2B3B">
        <w:rPr>
          <w:rFonts w:ascii="Calibri" w:hAnsi="Calibri" w:cs="Calibri"/>
          <w:b/>
          <w:sz w:val="28"/>
          <w:szCs w:val="28"/>
        </w:rPr>
        <w:t>Prompt</w:t>
      </w:r>
      <w:r w:rsidR="000B2B3B" w:rsidRPr="0000171F">
        <w:rPr>
          <w:rFonts w:ascii="Calibri" w:hAnsi="Calibri" w:cs="Calibri"/>
          <w:b/>
          <w:sz w:val="28"/>
          <w:szCs w:val="28"/>
        </w:rPr>
        <w:t xml:space="preserve"> </w:t>
      </w:r>
    </w:p>
    <w:p w14:paraId="638B30E1" w14:textId="2DED2FCC" w:rsidR="00A12FFF" w:rsidRDefault="00A12FFF" w:rsidP="004372FF">
      <w:pPr>
        <w:spacing w:before="120" w:after="120" w:line="240" w:lineRule="auto"/>
        <w:jc w:val="both"/>
        <w:rPr>
          <w:rFonts w:ascii="Calibri" w:hAnsi="Calibri" w:cs="Calibri"/>
          <w:lang w:val="en-US"/>
        </w:rPr>
      </w:pPr>
      <w:r>
        <w:rPr>
          <w:rFonts w:ascii="Calibri" w:hAnsi="Calibri" w:cs="Calibri"/>
          <w:lang w:val="en-US"/>
        </w:rPr>
        <w:t>&lt;instructions&gt;</w:t>
      </w:r>
    </w:p>
    <w:p w14:paraId="51D17C0E" w14:textId="4DC01652" w:rsidR="00342C77" w:rsidRPr="00342C77" w:rsidRDefault="00887939" w:rsidP="004372FF">
      <w:pPr>
        <w:spacing w:before="120" w:after="120" w:line="240" w:lineRule="auto"/>
        <w:jc w:val="both"/>
        <w:rPr>
          <w:rFonts w:ascii="Calibri" w:hAnsi="Calibri" w:cs="Calibri"/>
          <w:lang w:val="en-US"/>
        </w:rPr>
      </w:pPr>
      <w:r>
        <w:rPr>
          <w:rFonts w:ascii="Calibri" w:hAnsi="Calibri" w:cs="Calibri"/>
          <w:b/>
          <w:bCs/>
          <w:lang w:val="en-US"/>
        </w:rPr>
        <w:t>Writing</w:t>
      </w:r>
      <w:r w:rsidR="003E1D06" w:rsidRPr="003E1D06">
        <w:rPr>
          <w:rFonts w:ascii="Calibri" w:hAnsi="Calibri" w:cs="Calibri"/>
          <w:b/>
          <w:bCs/>
          <w:lang w:val="en-US"/>
        </w:rPr>
        <w:t>:</w:t>
      </w:r>
      <w:r w:rsidR="003E1D06">
        <w:rPr>
          <w:rFonts w:ascii="Calibri" w:hAnsi="Calibri" w:cs="Calibri"/>
          <w:lang w:val="en-US"/>
        </w:rPr>
        <w:t xml:space="preserve"> </w:t>
      </w:r>
      <w:r w:rsidR="00342C77" w:rsidRPr="00342C77">
        <w:rPr>
          <w:rFonts w:ascii="Calibri" w:hAnsi="Calibri" w:cs="Calibri"/>
          <w:lang w:val="en-US"/>
        </w:rPr>
        <w:t xml:space="preserve">Produce a rigorous Level Seven academic response that adheres strictly to a prescribed word count and is written in formal UK English, maintaining a third-person voice throughout with no contractions. The work must demonstrate sophisticated critical evaluation, theoretical integration, and precise disciplinary terminology, synthesising complex ideas rather than offering descriptive narration. The argument should be coherent, analytically robust, and grounded in high-quality, contemporary research, incorporating empirical data and relevant statistics to support nuanced and balanced discussion. </w:t>
      </w:r>
      <w:r>
        <w:rPr>
          <w:rFonts w:ascii="Calibri" w:hAnsi="Calibri" w:cs="Calibri"/>
          <w:lang w:val="en-US"/>
        </w:rPr>
        <w:t>W</w:t>
      </w:r>
      <w:r w:rsidR="00342C77" w:rsidRPr="00342C77">
        <w:rPr>
          <w:rFonts w:ascii="Calibri" w:hAnsi="Calibri" w:cs="Calibri"/>
          <w:lang w:val="en-US"/>
        </w:rPr>
        <w:t xml:space="preserve">ell-developed scholarly examples should be included where appropriate, and key concepts must be clearly and precisely defined. Differences and similarities between theoretical perspectives should be examined to </w:t>
      </w:r>
      <w:r>
        <w:rPr>
          <w:rFonts w:ascii="Calibri" w:hAnsi="Calibri" w:cs="Calibri"/>
          <w:lang w:val="en-US"/>
        </w:rPr>
        <w:t>provide</w:t>
      </w:r>
      <w:r w:rsidR="00342C77" w:rsidRPr="00342C77">
        <w:rPr>
          <w:rFonts w:ascii="Calibri" w:hAnsi="Calibri" w:cs="Calibri"/>
          <w:lang w:val="en-US"/>
        </w:rPr>
        <w:t xml:space="preserve"> deeper analytical insight, and frameworks must be critically appraised in relation to their strengths, limitations, assumptions, practical applicability, and relevance to professional practice. Evidence must be interrogated rather than accepted uncritically, with explicit connections drawn between theory, research, and practice to demonstrate mature scholarly engagement.</w:t>
      </w:r>
      <w:r>
        <w:rPr>
          <w:rFonts w:ascii="Calibri" w:hAnsi="Calibri" w:cs="Calibri"/>
          <w:lang w:val="en-US"/>
        </w:rPr>
        <w:t xml:space="preserve"> Focus on depth, specificity, and quality over speed.</w:t>
      </w:r>
    </w:p>
    <w:p w14:paraId="6C90F6E8" w14:textId="3E62C44C" w:rsidR="00342C77" w:rsidRPr="00342C77" w:rsidRDefault="003E1D06" w:rsidP="004372FF">
      <w:pPr>
        <w:spacing w:before="120" w:after="120" w:line="240" w:lineRule="auto"/>
        <w:jc w:val="both"/>
        <w:rPr>
          <w:rFonts w:ascii="Calibri" w:hAnsi="Calibri" w:cs="Calibri"/>
          <w:lang w:val="en-US"/>
        </w:rPr>
      </w:pPr>
      <w:r w:rsidRPr="003E1D06">
        <w:rPr>
          <w:rFonts w:ascii="Calibri" w:hAnsi="Calibri" w:cs="Calibri"/>
          <w:b/>
          <w:bCs/>
          <w:lang w:val="en-US"/>
        </w:rPr>
        <w:t>Citations:</w:t>
      </w:r>
      <w:r>
        <w:rPr>
          <w:rFonts w:ascii="Calibri" w:hAnsi="Calibri" w:cs="Calibri"/>
          <w:lang w:val="en-US"/>
        </w:rPr>
        <w:t xml:space="preserve"> </w:t>
      </w:r>
      <w:r w:rsidR="00342C77" w:rsidRPr="00342C77">
        <w:rPr>
          <w:rFonts w:ascii="Calibri" w:hAnsi="Calibri" w:cs="Calibri"/>
          <w:lang w:val="en-US"/>
        </w:rPr>
        <w:t>A minimum of [</w:t>
      </w:r>
      <w:r w:rsidR="00662D89">
        <w:rPr>
          <w:rFonts w:ascii="Calibri" w:hAnsi="Calibri" w:cs="Calibri"/>
          <w:lang w:val="en-US"/>
        </w:rPr>
        <w:t xml:space="preserve"> </w:t>
      </w:r>
      <w:r w:rsidR="00342C77" w:rsidRPr="00342C77">
        <w:rPr>
          <w:rFonts w:ascii="Calibri" w:hAnsi="Calibri" w:cs="Calibri"/>
          <w:lang w:val="en-US"/>
        </w:rPr>
        <w:t>] new and distinct academic sources must be used, with no repetition of previously cited works and no duplication of references within the piece. All sources must be genuine, verifiable, and searchable via Google; fictional or fabricated references are strictly prohibited. Every sentence must be supported analytically by an academic source clearly identified within the sentence using</w:t>
      </w:r>
      <w:r w:rsidR="00930AED">
        <w:rPr>
          <w:rFonts w:ascii="Calibri" w:hAnsi="Calibri" w:cs="Calibri"/>
          <w:lang w:val="en-US"/>
        </w:rPr>
        <w:t xml:space="preserve"> varied citation styles and</w:t>
      </w:r>
      <w:r w:rsidR="00342C77" w:rsidRPr="00342C77">
        <w:rPr>
          <w:rFonts w:ascii="Calibri" w:hAnsi="Calibri" w:cs="Calibri"/>
          <w:lang w:val="en-US"/>
        </w:rPr>
        <w:t xml:space="preserve"> narrative format, such as </w:t>
      </w:r>
      <w:r w:rsidR="00930AED">
        <w:rPr>
          <w:rFonts w:ascii="Calibri" w:hAnsi="Calibri" w:cs="Calibri"/>
          <w:lang w:val="en-US"/>
        </w:rPr>
        <w:t>“(Author, Year),” “</w:t>
      </w:r>
      <w:r w:rsidR="00342C77" w:rsidRPr="00342C77">
        <w:rPr>
          <w:rFonts w:ascii="Calibri" w:hAnsi="Calibri" w:cs="Calibri"/>
          <w:lang w:val="en-US"/>
        </w:rPr>
        <w:t>Author (Year) argued that…,</w:t>
      </w:r>
      <w:r w:rsidR="00930AED">
        <w:rPr>
          <w:rFonts w:ascii="Calibri" w:hAnsi="Calibri" w:cs="Calibri"/>
          <w:lang w:val="en-US"/>
        </w:rPr>
        <w:t>”</w:t>
      </w:r>
      <w:r w:rsidR="00342C77" w:rsidRPr="00342C77">
        <w:rPr>
          <w:rFonts w:ascii="Calibri" w:hAnsi="Calibri" w:cs="Calibri"/>
          <w:lang w:val="en-US"/>
        </w:rPr>
        <w:t xml:space="preserve"> </w:t>
      </w:r>
      <w:r w:rsidR="00930AED">
        <w:rPr>
          <w:rFonts w:ascii="Calibri" w:hAnsi="Calibri" w:cs="Calibri"/>
          <w:lang w:val="en-US"/>
        </w:rPr>
        <w:t>“</w:t>
      </w:r>
      <w:r w:rsidR="00342C77" w:rsidRPr="00342C77">
        <w:rPr>
          <w:rFonts w:ascii="Calibri" w:hAnsi="Calibri" w:cs="Calibri"/>
          <w:lang w:val="en-US"/>
        </w:rPr>
        <w:t>contended that…,</w:t>
      </w:r>
      <w:r w:rsidR="00930AED">
        <w:rPr>
          <w:rFonts w:ascii="Calibri" w:hAnsi="Calibri" w:cs="Calibri"/>
          <w:lang w:val="en-US"/>
        </w:rPr>
        <w:t>”</w:t>
      </w:r>
      <w:r w:rsidR="00342C77" w:rsidRPr="00342C77">
        <w:rPr>
          <w:rFonts w:ascii="Calibri" w:hAnsi="Calibri" w:cs="Calibri"/>
          <w:lang w:val="en-US"/>
        </w:rPr>
        <w:t xml:space="preserve"> </w:t>
      </w:r>
      <w:r w:rsidR="00930AED">
        <w:rPr>
          <w:rFonts w:ascii="Calibri" w:hAnsi="Calibri" w:cs="Calibri"/>
          <w:lang w:val="en-US"/>
        </w:rPr>
        <w:t>“</w:t>
      </w:r>
      <w:r w:rsidR="00342C77" w:rsidRPr="00342C77">
        <w:rPr>
          <w:rFonts w:ascii="Calibri" w:hAnsi="Calibri" w:cs="Calibri"/>
          <w:lang w:val="en-US"/>
        </w:rPr>
        <w:t>demonstrated that…,</w:t>
      </w:r>
      <w:r w:rsidR="00930AED">
        <w:rPr>
          <w:rFonts w:ascii="Calibri" w:hAnsi="Calibri" w:cs="Calibri"/>
          <w:lang w:val="en-US"/>
        </w:rPr>
        <w:t>”</w:t>
      </w:r>
      <w:r w:rsidR="00342C77" w:rsidRPr="00342C77">
        <w:rPr>
          <w:rFonts w:ascii="Calibri" w:hAnsi="Calibri" w:cs="Calibri"/>
          <w:lang w:val="en-US"/>
        </w:rPr>
        <w:t xml:space="preserve"> or similar scholarly constructions</w:t>
      </w:r>
      <w:r w:rsidR="00930AED">
        <w:rPr>
          <w:rFonts w:ascii="Calibri" w:hAnsi="Calibri" w:cs="Calibri"/>
          <w:lang w:val="en-US"/>
        </w:rPr>
        <w:t xml:space="preserve"> like:</w:t>
      </w:r>
      <w:r w:rsidR="00342C77" w:rsidRPr="00342C77">
        <w:rPr>
          <w:rFonts w:ascii="Calibri" w:hAnsi="Calibri" w:cs="Calibri"/>
          <w:lang w:val="en-US"/>
        </w:rPr>
        <w:t xml:space="preserve"> “according to”, “as stated by”, “maintained that”, “revealed how”, or “emphasised that”. Citations must be substantively integrated into the analytical discussion and </w:t>
      </w:r>
      <w:r w:rsidR="00CD0937">
        <w:rPr>
          <w:rFonts w:ascii="Calibri" w:hAnsi="Calibri" w:cs="Calibri"/>
          <w:lang w:val="en-US"/>
        </w:rPr>
        <w:t>should</w:t>
      </w:r>
      <w:r w:rsidR="00342C77" w:rsidRPr="00342C77">
        <w:rPr>
          <w:rFonts w:ascii="Calibri" w:hAnsi="Calibri" w:cs="Calibri"/>
          <w:lang w:val="en-US"/>
        </w:rPr>
        <w:t xml:space="preserve"> not </w:t>
      </w:r>
      <w:r w:rsidR="00CD0937">
        <w:rPr>
          <w:rFonts w:ascii="Calibri" w:hAnsi="Calibri" w:cs="Calibri"/>
          <w:lang w:val="en-US"/>
        </w:rPr>
        <w:t xml:space="preserve">always </w:t>
      </w:r>
      <w:r w:rsidR="00342C77" w:rsidRPr="00342C77">
        <w:rPr>
          <w:rFonts w:ascii="Calibri" w:hAnsi="Calibri" w:cs="Calibri"/>
          <w:lang w:val="en-US"/>
        </w:rPr>
        <w:t>appear in brackets at the end of a sentence or paragraph as the final element. All in-text citations must follow Harvard style using “and” rather than ampersands. A complete and accurate Harvard-style reference list must be provided at the end and is excluded from the word count.</w:t>
      </w:r>
    </w:p>
    <w:p w14:paraId="105D099C" w14:textId="40E63E17" w:rsidR="00342C77" w:rsidRDefault="00D40092" w:rsidP="004372FF">
      <w:pPr>
        <w:spacing w:before="120" w:after="120" w:line="240" w:lineRule="auto"/>
        <w:jc w:val="both"/>
        <w:rPr>
          <w:rFonts w:ascii="Calibri" w:hAnsi="Calibri" w:cs="Calibri"/>
          <w:lang w:val="en-US"/>
        </w:rPr>
      </w:pPr>
      <w:r w:rsidRPr="00D40092">
        <w:rPr>
          <w:rFonts w:ascii="Calibri" w:hAnsi="Calibri" w:cs="Calibri"/>
          <w:b/>
          <w:bCs/>
          <w:lang w:val="en-US"/>
        </w:rPr>
        <w:t>Structure:</w:t>
      </w:r>
      <w:r>
        <w:rPr>
          <w:rFonts w:ascii="Calibri" w:hAnsi="Calibri" w:cs="Calibri"/>
          <w:lang w:val="en-US"/>
        </w:rPr>
        <w:t xml:space="preserve"> </w:t>
      </w:r>
      <w:r w:rsidR="00342C77" w:rsidRPr="00342C77">
        <w:rPr>
          <w:rFonts w:ascii="Calibri" w:hAnsi="Calibri" w:cs="Calibri"/>
          <w:lang w:val="en-US"/>
        </w:rPr>
        <w:t xml:space="preserve">The structure must consist of fully developed paragraphs organised under clear, academically appropriate headings, with no bullet points or lists. Figures and tables, where required, must be embedded within the relevant sections rather than placed at the end, following this sequence: preceding analytical paragraph, figure or table heading, interpretation or description, and continuation of analysis. Numbers must be written in </w:t>
      </w:r>
      <w:r w:rsidR="003E1D06">
        <w:rPr>
          <w:rFonts w:ascii="Calibri" w:hAnsi="Calibri" w:cs="Calibri"/>
          <w:lang w:val="en-US"/>
        </w:rPr>
        <w:t>numerals (i.e. 1,</w:t>
      </w:r>
      <w:r>
        <w:rPr>
          <w:rFonts w:ascii="Calibri" w:hAnsi="Calibri" w:cs="Calibri"/>
          <w:lang w:val="en-US"/>
        </w:rPr>
        <w:t xml:space="preserve"> </w:t>
      </w:r>
      <w:r w:rsidR="003E1D06">
        <w:rPr>
          <w:rFonts w:ascii="Calibri" w:hAnsi="Calibri" w:cs="Calibri"/>
          <w:lang w:val="en-US"/>
        </w:rPr>
        <w:t>2,</w:t>
      </w:r>
      <w:r>
        <w:rPr>
          <w:rFonts w:ascii="Calibri" w:hAnsi="Calibri" w:cs="Calibri"/>
          <w:lang w:val="en-US"/>
        </w:rPr>
        <w:t xml:space="preserve"> </w:t>
      </w:r>
      <w:r w:rsidR="003E1D06">
        <w:rPr>
          <w:rFonts w:ascii="Calibri" w:hAnsi="Calibri" w:cs="Calibri"/>
          <w:lang w:val="en-US"/>
        </w:rPr>
        <w:t>3,</w:t>
      </w:r>
      <w:r>
        <w:rPr>
          <w:rFonts w:ascii="Calibri" w:hAnsi="Calibri" w:cs="Calibri"/>
          <w:lang w:val="en-US"/>
        </w:rPr>
        <w:t xml:space="preserve"> </w:t>
      </w:r>
      <w:r w:rsidR="003E1D06">
        <w:rPr>
          <w:rFonts w:ascii="Calibri" w:hAnsi="Calibri" w:cs="Calibri"/>
          <w:lang w:val="en-US"/>
        </w:rPr>
        <w:t xml:space="preserve">…) not </w:t>
      </w:r>
      <w:r w:rsidR="00342C77" w:rsidRPr="00342C77">
        <w:rPr>
          <w:rFonts w:ascii="Calibri" w:hAnsi="Calibri" w:cs="Calibri"/>
          <w:lang w:val="en-US"/>
        </w:rPr>
        <w:t>words,</w:t>
      </w:r>
      <w:r w:rsidR="003E1D06">
        <w:rPr>
          <w:rFonts w:ascii="Calibri" w:hAnsi="Calibri" w:cs="Calibri"/>
          <w:lang w:val="en-US"/>
        </w:rPr>
        <w:t xml:space="preserve"> </w:t>
      </w:r>
      <w:r w:rsidR="00342C77" w:rsidRPr="00342C77">
        <w:rPr>
          <w:rFonts w:ascii="Calibri" w:hAnsi="Calibri" w:cs="Calibri"/>
          <w:lang w:val="en-US"/>
        </w:rPr>
        <w:t>except when a number begins a sentence. Abbreviations such as “e.g.”, “i.e.”, and “etc.” must be avoided. The final work must meet core academic standards of clarity, structural coherence, originality, relevance, rigorous engagement with evidence, accuracy of citation, ethical scholarly practice, and advanced critical insight.</w:t>
      </w:r>
    </w:p>
    <w:p w14:paraId="57D334D2" w14:textId="60904B6E" w:rsidR="007316FA" w:rsidRDefault="00D40092" w:rsidP="007316FA">
      <w:pPr>
        <w:jc w:val="both"/>
        <w:rPr>
          <w:rFonts w:cstheme="minorHAnsi"/>
        </w:rPr>
      </w:pPr>
      <w:r w:rsidRPr="00D40092">
        <w:rPr>
          <w:rFonts w:cstheme="minorHAnsi"/>
          <w:b/>
          <w:bCs/>
        </w:rPr>
        <w:t>Humanising:</w:t>
      </w:r>
      <w:r>
        <w:rPr>
          <w:rFonts w:cstheme="minorHAnsi"/>
        </w:rPr>
        <w:t xml:space="preserve"> </w:t>
      </w:r>
      <w:r w:rsidR="00C44328" w:rsidRPr="00453ED2">
        <w:rPr>
          <w:rFonts w:cstheme="minorHAnsi"/>
        </w:rPr>
        <w:t xml:space="preserve"> </w:t>
      </w:r>
      <w:r w:rsidR="007316FA" w:rsidRPr="00453ED2">
        <w:rPr>
          <w:rFonts w:cstheme="minorHAnsi"/>
        </w:rPr>
        <w:t>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writing style. Write the text with a richer and more varied vocabulary, avoiding repetitive phrasing and common AI-style wording. Incorporate rarer words, regional slang, or poetic phrasing where appropriate, while maintaining clarity and coherence. Ensure the tone remains formal (or adjust if needed) and that the meaning of the original text is preserved. Use vivid descriptions, dynamic sentence structures, and a natural flow that feels engaging and sophisticated.</w:t>
      </w:r>
    </w:p>
    <w:p w14:paraId="0564FA0C" w14:textId="5B15365B" w:rsidR="007316FA" w:rsidRPr="007316FA" w:rsidRDefault="007316FA" w:rsidP="007316FA">
      <w:pPr>
        <w:jc w:val="both"/>
        <w:rPr>
          <w:rFonts w:cstheme="minorHAnsi"/>
        </w:rPr>
      </w:pPr>
      <w:r w:rsidRPr="007316FA">
        <w:rPr>
          <w:b/>
          <w:bCs/>
        </w:rPr>
        <w:t>Humaniser instructions:</w:t>
      </w:r>
      <w:r>
        <w:t xml:space="preserve"> </w:t>
      </w:r>
      <w:r w:rsidRPr="00D025AD">
        <w:t>Apply the following transformations without exception:</w:t>
      </w:r>
    </w:p>
    <w:p w14:paraId="0F76F592" w14:textId="77777777" w:rsidR="007316FA" w:rsidRDefault="007316FA" w:rsidP="007316FA">
      <w:pPr>
        <w:pStyle w:val="ListParagraph"/>
        <w:numPr>
          <w:ilvl w:val="0"/>
          <w:numId w:val="4"/>
        </w:numPr>
        <w:jc w:val="both"/>
      </w:pPr>
      <w:r w:rsidRPr="007316FA">
        <w:rPr>
          <w:b/>
          <w:bCs/>
        </w:rPr>
        <w:lastRenderedPageBreak/>
        <w:t>Sentence structure and rhythm:</w:t>
      </w:r>
      <w:r w:rsidRPr="00D025AD">
        <w:t xml:space="preserve"> Break the robotic uniformity of AI prose. Vary sentence length aggressively — place short, punchy sentences next to longer, more complex ones. Do not let three consecutive sentences share a similar length or structure. This variation in "burstiness" is the single most detectable difference between human and AI writing, so treat it as a priority.</w:t>
      </w:r>
    </w:p>
    <w:p w14:paraId="4C3FAA14" w14:textId="77777777" w:rsidR="007316FA" w:rsidRDefault="007316FA" w:rsidP="007316FA">
      <w:pPr>
        <w:pStyle w:val="ListParagraph"/>
        <w:numPr>
          <w:ilvl w:val="0"/>
          <w:numId w:val="4"/>
        </w:numPr>
        <w:jc w:val="both"/>
      </w:pPr>
      <w:r w:rsidRPr="007316FA">
        <w:rPr>
          <w:b/>
          <w:bCs/>
        </w:rPr>
        <w:t>Remove AI fingerprints:</w:t>
      </w:r>
      <w:r w:rsidRPr="00D025AD">
        <w:t xml:space="preserve"> Strip out all phrases that AI defaults to. This includes openers like "It is worth noting", "It is important to", "Furthermore", "Moreover", "In conclusion", "Delving into", "In the realm of", and any sentence that begins by restating what was just said. Remove hollow filler affirmations entirely.</w:t>
      </w:r>
    </w:p>
    <w:p w14:paraId="4897F206" w14:textId="77777777" w:rsidR="007316FA" w:rsidRDefault="007316FA" w:rsidP="007316FA">
      <w:pPr>
        <w:pStyle w:val="ListParagraph"/>
        <w:numPr>
          <w:ilvl w:val="0"/>
          <w:numId w:val="4"/>
        </w:numPr>
        <w:jc w:val="both"/>
      </w:pPr>
      <w:r w:rsidRPr="007316FA">
        <w:rPr>
          <w:b/>
          <w:bCs/>
        </w:rPr>
        <w:t>Transitions:</w:t>
      </w:r>
      <w:r w:rsidRPr="00D025AD">
        <w:t xml:space="preserve"> Replace mechanical logical connectors with natural, conversational bridges. Humans do not write "Additionally, it can be observed that" — they write "That said," or "Which raises the question of" or simply start a new thought without flagging it.</w:t>
      </w:r>
    </w:p>
    <w:p w14:paraId="6C0629C3" w14:textId="77777777" w:rsidR="007316FA" w:rsidRDefault="007316FA" w:rsidP="007316FA">
      <w:pPr>
        <w:pStyle w:val="ListParagraph"/>
        <w:numPr>
          <w:ilvl w:val="0"/>
          <w:numId w:val="4"/>
        </w:numPr>
        <w:jc w:val="both"/>
      </w:pPr>
      <w:r w:rsidRPr="007316FA">
        <w:rPr>
          <w:b/>
          <w:bCs/>
        </w:rPr>
        <w:t>Vocabulary:</w:t>
      </w:r>
      <w:r w:rsidRPr="00D025AD">
        <w:t xml:space="preserve"> Flatten the vocabulary slightly. AI overuses elevated synonyms to signal intelligence — choose the cleaner, more direct word unless the complex one is genuinely the right fit. Avoid nominalisation where a verb would do ("make a decision" → "decide").</w:t>
      </w:r>
    </w:p>
    <w:p w14:paraId="6DA49580" w14:textId="77777777" w:rsidR="007316FA" w:rsidRDefault="007316FA" w:rsidP="007316FA">
      <w:pPr>
        <w:pStyle w:val="ListParagraph"/>
        <w:numPr>
          <w:ilvl w:val="0"/>
          <w:numId w:val="4"/>
        </w:numPr>
        <w:jc w:val="both"/>
      </w:pPr>
      <w:r w:rsidRPr="007316FA">
        <w:rPr>
          <w:b/>
          <w:bCs/>
        </w:rPr>
        <w:t>Imperfection and opinion:</w:t>
      </w:r>
      <w:r w:rsidRPr="00D025AD">
        <w:t xml:space="preserve"> Introduce subtle authorial presence. Real writers hedge naturally, qualify claims informally, and occasionally let a perspective bleed through. Passive constructions everywhere signal AI — use active voice with a human behind it.</w:t>
      </w:r>
    </w:p>
    <w:p w14:paraId="3BCF7892" w14:textId="77777777" w:rsidR="007316FA" w:rsidRDefault="007316FA" w:rsidP="007316FA">
      <w:pPr>
        <w:pStyle w:val="ListParagraph"/>
        <w:numPr>
          <w:ilvl w:val="0"/>
          <w:numId w:val="4"/>
        </w:numPr>
        <w:jc w:val="both"/>
      </w:pPr>
      <w:r w:rsidRPr="007316FA">
        <w:rPr>
          <w:b/>
          <w:bCs/>
        </w:rPr>
        <w:t>Paragraph logic:</w:t>
      </w:r>
      <w:r w:rsidRPr="00D025AD">
        <w:t xml:space="preserve"> AI tends to build paragraphs in rigid triads — claim, evidence, conclusion, repeat. Break this. Let some paragraphs be two sentences. Let an idea carry across a paragraph break. Let the structure follow the thought, not a template.</w:t>
      </w:r>
    </w:p>
    <w:p w14:paraId="065846F3" w14:textId="00D30E12" w:rsidR="007316FA" w:rsidRPr="00D025AD" w:rsidRDefault="007316FA" w:rsidP="007316FA">
      <w:pPr>
        <w:pStyle w:val="ListParagraph"/>
        <w:numPr>
          <w:ilvl w:val="0"/>
          <w:numId w:val="4"/>
        </w:numPr>
        <w:jc w:val="both"/>
      </w:pPr>
      <w:r w:rsidRPr="007316FA">
        <w:rPr>
          <w:b/>
          <w:bCs/>
        </w:rPr>
        <w:t>Perplexity:</w:t>
      </w:r>
      <w:r w:rsidRPr="00D025AD">
        <w:t xml:space="preserve"> Increase lexical unpredictability. AI writing is statistically very predictable — each word is the most likely next word. Introduce phrasing that is correct but slightly unexpected. This is what makes writing feel authored rather than generated.</w:t>
      </w:r>
    </w:p>
    <w:p w14:paraId="5960613D" w14:textId="4B29FF2D" w:rsidR="00291DCF" w:rsidRPr="0000171F" w:rsidRDefault="00887939" w:rsidP="00291DCF">
      <w:pPr>
        <w:spacing w:before="120" w:after="120" w:line="360" w:lineRule="auto"/>
      </w:pPr>
      <w:r w:rsidRPr="00887939">
        <w:rPr>
          <w:b/>
          <w:bCs/>
        </w:rPr>
        <w:t>Quality:</w:t>
      </w:r>
      <w:r>
        <w:t xml:space="preserve"> </w:t>
      </w:r>
      <w:r w:rsidR="00291DCF" w:rsidRPr="0000171F">
        <w:t xml:space="preserve">This </w:t>
      </w:r>
      <w:r w:rsidR="00291DCF">
        <w:t>work</w:t>
      </w:r>
      <w:r w:rsidR="00291DCF" w:rsidRPr="0000171F">
        <w:t xml:space="preserve"> must meet the following criteria and encompass these factors:</w:t>
      </w:r>
    </w:p>
    <w:p w14:paraId="7E9947B2" w14:textId="1B074E9A" w:rsidR="00291DCF" w:rsidRDefault="00291DCF" w:rsidP="004372FF">
      <w:pPr>
        <w:spacing w:before="120" w:after="120" w:line="240" w:lineRule="auto"/>
        <w:jc w:val="both"/>
        <w:rPr>
          <w:i/>
          <w:sz w:val="20"/>
          <w:szCs w:val="20"/>
        </w:rPr>
      </w:pPr>
      <w:r w:rsidRPr="003E2957">
        <w:rPr>
          <w:i/>
          <w:color w:val="2E74B5" w:themeColor="accent1" w:themeShade="BF"/>
          <w:sz w:val="20"/>
          <w:szCs w:val="20"/>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and Ethical Writing Practices (e.g., avoiding plagiarism)</w:t>
      </w:r>
      <w:r w:rsidRPr="003E2957">
        <w:rPr>
          <w:i/>
          <w:sz w:val="20"/>
          <w:szCs w:val="20"/>
        </w:rPr>
        <w:t>.</w:t>
      </w:r>
    </w:p>
    <w:p w14:paraId="5C466BBA" w14:textId="433F2451" w:rsidR="00342C77" w:rsidRPr="00115553" w:rsidRDefault="00115553" w:rsidP="004372FF">
      <w:pPr>
        <w:spacing w:before="120" w:after="120" w:line="240" w:lineRule="auto"/>
        <w:jc w:val="both"/>
        <w:rPr>
          <w:b/>
          <w:bCs/>
          <w:iCs/>
        </w:rPr>
      </w:pPr>
      <w:r w:rsidRPr="00115553">
        <w:rPr>
          <w:b/>
          <w:bCs/>
          <w:iCs/>
          <w:sz w:val="20"/>
          <w:szCs w:val="20"/>
        </w:rPr>
        <w:t xml:space="preserve">Output: </w:t>
      </w:r>
      <w:r w:rsidR="00342C77" w:rsidRPr="004372FF">
        <w:rPr>
          <w:rFonts w:ascii="Calibri" w:hAnsi="Calibri" w:cs="Calibri"/>
          <w:highlight w:val="cyan"/>
          <w:lang w:val="en-US"/>
        </w:rPr>
        <w:t>The response must be written section by section, pausing after each section until further instruction is given to proceed.</w:t>
      </w:r>
    </w:p>
    <w:p w14:paraId="23BB3082" w14:textId="77777777" w:rsidR="00A12FFF" w:rsidRDefault="00A12FFF" w:rsidP="00A12FFF">
      <w:pPr>
        <w:spacing w:before="120" w:after="120" w:line="240" w:lineRule="auto"/>
        <w:jc w:val="both"/>
        <w:rPr>
          <w:rFonts w:ascii="Calibri" w:hAnsi="Calibri" w:cs="Calibri"/>
          <w:lang w:val="en-US"/>
        </w:rPr>
      </w:pPr>
      <w:r>
        <w:rPr>
          <w:rFonts w:ascii="Calibri" w:hAnsi="Calibri" w:cs="Calibri"/>
          <w:lang w:val="en-US"/>
        </w:rPr>
        <w:t>&lt;instructions&gt;</w:t>
      </w:r>
    </w:p>
    <w:p w14:paraId="114D889F" w14:textId="77777777" w:rsidR="00FA5C1B" w:rsidRDefault="00FA5C1B" w:rsidP="00A12FFF">
      <w:pPr>
        <w:spacing w:before="120" w:after="120" w:line="240" w:lineRule="auto"/>
        <w:jc w:val="both"/>
        <w:rPr>
          <w:rFonts w:ascii="Calibri" w:hAnsi="Calibri" w:cs="Calibri"/>
          <w:lang w:val="en-US"/>
        </w:rPr>
      </w:pPr>
    </w:p>
    <w:p w14:paraId="2DFD70B9" w14:textId="77777777" w:rsidR="00FA5C1B" w:rsidRDefault="00FA5C1B" w:rsidP="00A12FFF">
      <w:pPr>
        <w:spacing w:before="120" w:after="120" w:line="240" w:lineRule="auto"/>
        <w:jc w:val="both"/>
        <w:rPr>
          <w:rFonts w:ascii="Calibri" w:hAnsi="Calibri" w:cs="Calibri"/>
          <w:lang w:val="en-US"/>
        </w:rPr>
      </w:pPr>
    </w:p>
    <w:p w14:paraId="3F7EA543" w14:textId="01CF7910" w:rsidR="000B2B3B" w:rsidRPr="00342C77" w:rsidRDefault="000B2B3B" w:rsidP="004372FF">
      <w:pPr>
        <w:spacing w:before="120" w:after="120" w:line="240" w:lineRule="auto"/>
        <w:jc w:val="both"/>
        <w:rPr>
          <w:rFonts w:ascii="Calibri" w:hAnsi="Calibri" w:cs="Calibri"/>
          <w:color w:val="C00000"/>
          <w:lang w:val="en-US"/>
        </w:rPr>
      </w:pPr>
    </w:p>
    <w:p w14:paraId="7896CC69" w14:textId="77777777" w:rsidR="000B2B3B" w:rsidRPr="0000171F" w:rsidRDefault="000B2B3B" w:rsidP="004372FF">
      <w:pPr>
        <w:spacing w:before="120" w:after="120" w:line="240" w:lineRule="auto"/>
        <w:rPr>
          <w:rFonts w:ascii="Calibri" w:hAnsi="Calibri" w:cs="Calibri"/>
          <w:color w:val="C00000"/>
        </w:rPr>
      </w:pPr>
    </w:p>
    <w:p w14:paraId="29EF208E" w14:textId="2CBBCA8F" w:rsidR="00443CFE" w:rsidRPr="00503F15" w:rsidRDefault="00443CFE" w:rsidP="004372FF">
      <w:pPr>
        <w:spacing w:before="120" w:after="120" w:line="240" w:lineRule="auto"/>
        <w:jc w:val="both"/>
        <w:rPr>
          <w:rFonts w:ascii="Calibri" w:hAnsi="Calibri" w:cs="Calibri"/>
          <w:i/>
          <w:sz w:val="20"/>
          <w:szCs w:val="20"/>
        </w:rPr>
      </w:pPr>
    </w:p>
    <w:sectPr w:rsidR="00443CFE" w:rsidRPr="00503F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65A0C"/>
    <w:multiLevelType w:val="hybridMultilevel"/>
    <w:tmpl w:val="9EE4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802DBE"/>
    <w:multiLevelType w:val="hybridMultilevel"/>
    <w:tmpl w:val="A0BA719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406749">
    <w:abstractNumId w:val="1"/>
  </w:num>
  <w:num w:numId="2" w16cid:durableId="1746873990">
    <w:abstractNumId w:val="2"/>
  </w:num>
  <w:num w:numId="3" w16cid:durableId="1623075149">
    <w:abstractNumId w:val="2"/>
  </w:num>
  <w:num w:numId="4" w16cid:durableId="76160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B3B"/>
    <w:rsid w:val="000B2B3B"/>
    <w:rsid w:val="00115553"/>
    <w:rsid w:val="001A5661"/>
    <w:rsid w:val="00291DCF"/>
    <w:rsid w:val="003124B6"/>
    <w:rsid w:val="00312FD3"/>
    <w:rsid w:val="00342C77"/>
    <w:rsid w:val="00363D00"/>
    <w:rsid w:val="0037758B"/>
    <w:rsid w:val="0039139E"/>
    <w:rsid w:val="003B058B"/>
    <w:rsid w:val="003E1D06"/>
    <w:rsid w:val="0042587E"/>
    <w:rsid w:val="004372FF"/>
    <w:rsid w:val="00443CFE"/>
    <w:rsid w:val="004A30D6"/>
    <w:rsid w:val="004E243F"/>
    <w:rsid w:val="00503F15"/>
    <w:rsid w:val="005A1C05"/>
    <w:rsid w:val="005D2897"/>
    <w:rsid w:val="00662D89"/>
    <w:rsid w:val="00670F88"/>
    <w:rsid w:val="00680594"/>
    <w:rsid w:val="006D39CD"/>
    <w:rsid w:val="00714C6F"/>
    <w:rsid w:val="00720C5D"/>
    <w:rsid w:val="00724A70"/>
    <w:rsid w:val="007316FA"/>
    <w:rsid w:val="00743F9E"/>
    <w:rsid w:val="007738AD"/>
    <w:rsid w:val="007A68B1"/>
    <w:rsid w:val="00807BA4"/>
    <w:rsid w:val="008731BA"/>
    <w:rsid w:val="00887939"/>
    <w:rsid w:val="008C287F"/>
    <w:rsid w:val="008D3A20"/>
    <w:rsid w:val="008F69CE"/>
    <w:rsid w:val="00930AED"/>
    <w:rsid w:val="00941220"/>
    <w:rsid w:val="00992989"/>
    <w:rsid w:val="009D3C8C"/>
    <w:rsid w:val="00A12FFF"/>
    <w:rsid w:val="00A15F5F"/>
    <w:rsid w:val="00A5483B"/>
    <w:rsid w:val="00A7478B"/>
    <w:rsid w:val="00AC6935"/>
    <w:rsid w:val="00B45680"/>
    <w:rsid w:val="00B526D0"/>
    <w:rsid w:val="00C44328"/>
    <w:rsid w:val="00C75246"/>
    <w:rsid w:val="00CC1092"/>
    <w:rsid w:val="00CD0937"/>
    <w:rsid w:val="00D40092"/>
    <w:rsid w:val="00E3631B"/>
    <w:rsid w:val="00EA6617"/>
    <w:rsid w:val="00EB4C2F"/>
    <w:rsid w:val="00F7429F"/>
    <w:rsid w:val="00FA5C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C5A6B"/>
  <w15:chartTrackingRefBased/>
  <w15:docId w15:val="{2EFB88F2-12C7-40D5-A37D-562FB11C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B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B3B"/>
    <w:pPr>
      <w:ind w:left="720"/>
      <w:contextualSpacing/>
    </w:pPr>
  </w:style>
  <w:style w:type="character" w:styleId="Hyperlink">
    <w:name w:val="Hyperlink"/>
    <w:basedOn w:val="DefaultParagraphFont"/>
    <w:uiPriority w:val="99"/>
    <w:unhideWhenUsed/>
    <w:rsid w:val="004A30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4413">
      <w:bodyDiv w:val="1"/>
      <w:marLeft w:val="0"/>
      <w:marRight w:val="0"/>
      <w:marTop w:val="0"/>
      <w:marBottom w:val="0"/>
      <w:divBdr>
        <w:top w:val="none" w:sz="0" w:space="0" w:color="auto"/>
        <w:left w:val="none" w:sz="0" w:space="0" w:color="auto"/>
        <w:bottom w:val="none" w:sz="0" w:space="0" w:color="auto"/>
        <w:right w:val="none" w:sz="0" w:space="0" w:color="auto"/>
      </w:divBdr>
    </w:div>
    <w:div w:id="105882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41</cp:revision>
  <dcterms:created xsi:type="dcterms:W3CDTF">2024-11-06T08:03:00Z</dcterms:created>
  <dcterms:modified xsi:type="dcterms:W3CDTF">2026-04-07T13:04:00Z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80b113e0-d621-43b8-ae35-aebdb6bd6382</vt:lpwstr>
  </property>
</Properties>
</file>