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DD37" w14:textId="7296392B" w:rsidR="00970965" w:rsidRPr="002D2AE0" w:rsidRDefault="00970965" w:rsidP="002D2AE0">
      <w:pPr>
        <w:pStyle w:val="NormalWeb"/>
        <w:jc w:val="center"/>
        <w:rPr>
          <w:rFonts w:ascii="Arial" w:hAnsi="Arial" w:cs="Arial"/>
          <w:b/>
          <w:bCs/>
          <w:sz w:val="20"/>
          <w:szCs w:val="20"/>
        </w:rPr>
      </w:pPr>
      <w:r w:rsidRPr="002D2AE0">
        <w:rPr>
          <w:rFonts w:ascii="Arial" w:hAnsi="Arial" w:cs="Arial"/>
          <w:b/>
          <w:bCs/>
          <w:sz w:val="20"/>
          <w:szCs w:val="20"/>
        </w:rPr>
        <w:t>QUESTIONNAIRE / SURVEY INSTRUMENT</w:t>
      </w:r>
    </w:p>
    <w:p w14:paraId="195E5F8C" w14:textId="77777777" w:rsidR="00970965" w:rsidRPr="002D2AE0" w:rsidRDefault="00970965">
      <w:pPr>
        <w:pStyle w:val="NormalWeb"/>
        <w:rPr>
          <w:rFonts w:ascii="Arial" w:hAnsi="Arial" w:cs="Arial"/>
          <w:sz w:val="20"/>
          <w:szCs w:val="20"/>
        </w:rPr>
      </w:pPr>
      <w:r w:rsidRPr="002D2AE0">
        <w:rPr>
          <w:rFonts w:ascii="Arial" w:hAnsi="Arial" w:cs="Arial"/>
          <w:sz w:val="20"/>
          <w:szCs w:val="20"/>
        </w:rPr>
        <w:t>Structured instrument | Quantitative | Ethics-ready | Word-ready format | Dissertation-aligned</w:t>
      </w:r>
    </w:p>
    <w:p w14:paraId="726A939D" w14:textId="77777777" w:rsidR="00970965" w:rsidRPr="002D2AE0" w:rsidRDefault="00970965" w:rsidP="002D2AE0">
      <w:pPr>
        <w:pStyle w:val="NormalWeb"/>
        <w:jc w:val="both"/>
        <w:rPr>
          <w:rFonts w:ascii="Arial" w:hAnsi="Arial" w:cs="Arial"/>
          <w:sz w:val="20"/>
          <w:szCs w:val="20"/>
        </w:rPr>
      </w:pPr>
      <w:r w:rsidRPr="002D2AE0">
        <w:rPr>
          <w:rFonts w:ascii="Arial" w:hAnsi="Arial" w:cs="Arial"/>
          <w:sz w:val="20"/>
          <w:szCs w:val="20"/>
        </w:rPr>
        <w:t>Do not begin writing the questionnaire immediately. First, extract and verify the core design information from the materials provided. If a study proposal, ethics form, participant information sheet, Chapter One, Chapter Two, Chapter Three, methodology section, variable framework, conceptual model, or supervisor guidance has been uploaded with the request, those documents must be treated as the primary source of truth. The questionnaire must align exactly with them. Do not improvise population labels, variables, scale wording, data retention terms, consent language, recruitment details, or demographic categories that conflict with the uploaded materials.</w:t>
      </w:r>
    </w:p>
    <w:p w14:paraId="7DADDC40" w14:textId="77777777" w:rsidR="00970965" w:rsidRPr="002D2AE0" w:rsidRDefault="00970965" w:rsidP="002D2AE0">
      <w:pPr>
        <w:pStyle w:val="NormalWeb"/>
        <w:jc w:val="both"/>
        <w:rPr>
          <w:rFonts w:ascii="Arial" w:hAnsi="Arial" w:cs="Arial"/>
          <w:sz w:val="20"/>
          <w:szCs w:val="20"/>
        </w:rPr>
      </w:pPr>
      <w:r w:rsidRPr="002D2AE0">
        <w:rPr>
          <w:rFonts w:ascii="Arial" w:hAnsi="Arial" w:cs="Arial"/>
          <w:sz w:val="20"/>
          <w:szCs w:val="20"/>
        </w:rPr>
        <w:t>Before writing the instrument, identify and apply the following exactly as they appear in the study materials: the study title, the research aim, the research objectives, the variables or constructs, the population and context, the inclusion criteria, the data collection mode, the ethical commitments, the intended analysis strategy, and any institution-specific wording required for ethics submission. If the uploaded materials include an ethics form or participant information sheet, use their wording as the controlling basis for consent, confidentiality, storage, withdrawal, and contact details. If no such material is provided, construct these sections to a high academic and UK ethics standard without inventing unsupported institutional claims.</w:t>
      </w:r>
    </w:p>
    <w:p w14:paraId="7ACA3DF4" w14:textId="63CBF39E"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Core Instruction</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 xml:space="preserve">Create a dissertation-grade structured questionnaire that is capable of being used for academic data collection, ethics submission, pilot testing, and quantitative analysis. The instrument must not be generic. It must be built from the exact logic of the study. Every section, item, scale, and instruction must align with the dissertation topic, the variables in the conceptual framework, the research questions, the sampling logic, and the intended statistical analysis. The questionnaire must be suitable for direct transfer into a Word document and, where needed, online survey platforms such as Google Forms, Qualtrics, Microsoft Forms, SurveyMonkey, </w:t>
      </w:r>
      <w:proofErr w:type="spellStart"/>
      <w:r w:rsidRPr="002D2AE0">
        <w:rPr>
          <w:rFonts w:ascii="Arial" w:hAnsi="Arial" w:cs="Arial"/>
          <w:sz w:val="20"/>
          <w:szCs w:val="20"/>
        </w:rPr>
        <w:t>KoboToolbox</w:t>
      </w:r>
      <w:proofErr w:type="spellEnd"/>
      <w:r w:rsidRPr="002D2AE0">
        <w:rPr>
          <w:rFonts w:ascii="Arial" w:hAnsi="Arial" w:cs="Arial"/>
          <w:sz w:val="20"/>
          <w:szCs w:val="20"/>
        </w:rPr>
        <w:t xml:space="preserve">, or </w:t>
      </w:r>
      <w:proofErr w:type="spellStart"/>
      <w:r w:rsidRPr="002D2AE0">
        <w:rPr>
          <w:rFonts w:ascii="Arial" w:hAnsi="Arial" w:cs="Arial"/>
          <w:sz w:val="20"/>
          <w:szCs w:val="20"/>
        </w:rPr>
        <w:t>REDCap</w:t>
      </w:r>
      <w:proofErr w:type="spellEnd"/>
      <w:r w:rsidRPr="002D2AE0">
        <w:rPr>
          <w:rFonts w:ascii="Arial" w:hAnsi="Arial" w:cs="Arial"/>
          <w:sz w:val="20"/>
          <w:szCs w:val="20"/>
        </w:rPr>
        <w:t>.</w:t>
      </w:r>
    </w:p>
    <w:p w14:paraId="0F172B09" w14:textId="22C1E320"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Primary Function of the Instrument</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The questionnaire must do three things at once. It must collect ethically valid data from participants. It must measure the study constructs with conceptual and statistical discipline. It must produce data that can be analysed properly in SPSS or equivalent software. The instrument must therefore balance participant-facing clarity with methodological rigour. It must be easy for respondents to understand, but it must also be strong enough for descriptive statistics, reliability testing, correlation analysis, regression analysis, subgroup comparison, and where relevant mediation or moderation analysis.</w:t>
      </w:r>
    </w:p>
    <w:p w14:paraId="10A4D169" w14:textId="05F728F9"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Human Writing Standard for Participant-Facing Text</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All participant-facing text must be written in plain, direct UK English that any adult participant can understand easily. Avoid academic jargon in the introduction, instructions, consent language, and item wording. The style should be formal but accessible. Do not write like a textbook. Do not write like an ethics policy copied into a survey. Write clearly, respectfully, and naturally. Sentences should be short enough to be easily understood but not so thin that they sound abrupt or robotic. The participant must always know what the study is about, what is being asked, what their rights are, and how to respond.</w:t>
      </w:r>
    </w:p>
    <w:p w14:paraId="5EB30E62" w14:textId="6AB61C53"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Instrument Design Principle</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This prompt must not produce a questionnaire by filling a template mechanically. It must design the questionnaire from the study’s analytical needs. The AI must infer what constructs need direct measurement, what demographics are genuinely necessary for analysis, what wording level suits the participant group, and what item balance is needed to protect clarity, internal consistency, and ethical acceptability. The questionnaire must therefore reflect the dissertation’s logic rather than a pre-made form.</w:t>
      </w:r>
    </w:p>
    <w:p w14:paraId="0D6B29A9" w14:textId="5533E298"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Source-Control Rule for Uploaded Study Materials</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 xml:space="preserve">If additional study documents are uploaded with the prompt, the AI must first reconcile the questionnaire with them before drafting. This includes, where relevant, the exact study title, the variable naming, the target population, the recruitment setting, the institution name, the stated age threshold, the risk level, consent procedures, data protection wording, withdrawal window, data retention timeline, and whether anonymity or confidentiality is promised. The AI must never state that responses are anonymous if the study design actually allows identifiable data </w:t>
      </w:r>
      <w:r w:rsidRPr="002D2AE0">
        <w:rPr>
          <w:rFonts w:ascii="Arial" w:hAnsi="Arial" w:cs="Arial"/>
          <w:sz w:val="20"/>
          <w:szCs w:val="20"/>
        </w:rPr>
        <w:lastRenderedPageBreak/>
        <w:t>collection. It must never promise withdrawal after submission if the ethics material says that anonymised responses cannot be withdrawn once submitted. It must never invent a data retention period. Ethics wording must match the study materials precisely where those materials exist.</w:t>
      </w:r>
      <w:r w:rsidR="00AD7573">
        <w:rPr>
          <w:rFonts w:ascii="Arial" w:hAnsi="Arial" w:cs="Arial"/>
          <w:sz w:val="20"/>
          <w:szCs w:val="20"/>
        </w:rPr>
        <w:t xml:space="preserve"> </w:t>
      </w:r>
      <w:r w:rsidR="00AD7573" w:rsidRPr="002D2AE0">
        <w:rPr>
          <w:rFonts w:ascii="Arial" w:hAnsi="Arial" w:cs="Arial"/>
          <w:sz w:val="20"/>
          <w:szCs w:val="20"/>
        </w:rPr>
        <w:t>If a study proposal, ethics form, participant information sheet, methodology chapter, conceptual framework, or supervisor-approved instrument notes are uploaded with this prompt, use them as binding design constraints. Do not create questionnaire content that conflicts with them. If the documents contain tension or inconsistency, prioritise the ethics-approved wording for participant-facing sections and the methodology-approved structure for construct measurement, and flag the conflict in the researcher design note rather than silently choosing one without notice.</w:t>
      </w:r>
    </w:p>
    <w:p w14:paraId="58E34BD9" w14:textId="40AF43A1"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Pre-Writing Analytical Step</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Before generating the questionnaire, determine the following internally and then build the instrument accordingly. Identify what each construct means in the context of the study. Identify the likely theoretical dimensions behind each variable. Determine whether the instrument should measure attitudes, perceptions, behaviours, self-reported practices, organisational conditions, beliefs, intentions, or outcomes. Decide whether a 5-point Likert scale is appropriate or whether another response structure is needed for any section. Identify whether the study requires a moderator or mediator section. Identify what demographic variables are analytically necessary rather than merely conventional. Only then draft the instrument.</w:t>
      </w:r>
    </w:p>
    <w:p w14:paraId="46CEE59C" w14:textId="46044FE4"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Title Block</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Display the full title of the instrument at the top exactly as follows: [INSTRUMENT TITLE]. The title must reflect the dissertation topic and variable structure accurately. It must match the study title or instrument title used elsewhere in the dissertation and ethics documents where applicable.</w:t>
      </w:r>
    </w:p>
    <w:p w14:paraId="6C02E84F" w14:textId="4FCEABCF"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Introductory Information and Consent Section</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Write the opening section as a participant information and consent block suitable for inclusion at the start of a questionnaire. It should normally be 2 short paragraphs followed by a consent confirmation line. The writing must explain clearly, in plain English, the purpose of the study, why the participant is being invited, what participation involves, the approximate completion time, whether responses are anonymous or confidential, and the academic purpose of the research. It must state clearly that participation is voluntary. It must explain whether the participant may withdraw before submission only, or whether withdrawal remains possible after submission within a defined period, depending on the actual study design and ethics wording. Do not make promises that the study design cannot honour.</w:t>
      </w:r>
      <w:r w:rsidR="002D2AE0">
        <w:rPr>
          <w:rFonts w:ascii="Arial" w:hAnsi="Arial" w:cs="Arial"/>
          <w:sz w:val="20"/>
          <w:szCs w:val="20"/>
        </w:rPr>
        <w:t xml:space="preserve"> </w:t>
      </w:r>
      <w:r w:rsidRPr="002D2AE0">
        <w:rPr>
          <w:rFonts w:ascii="Arial" w:hAnsi="Arial" w:cs="Arial"/>
          <w:sz w:val="20"/>
          <w:szCs w:val="20"/>
        </w:rPr>
        <w:t>If no controlling ethics document is provided, the following elements must normally be included in adapted form: the statement that participation is voluntary; the statement that the participant must be 18 years or older unless the study explicitly involves another approved group; the explanation that data will be used solely for academic research; the explanation of how data will be stored and who will have access to it; the statement of retention period; the UK GDPR compliance statement where appropriate; and the contact details for the researcher. If the ethics materials specify exact wording, use that wording in substance.</w:t>
      </w:r>
      <w:r w:rsidR="002D2AE0">
        <w:rPr>
          <w:rFonts w:ascii="Arial" w:hAnsi="Arial" w:cs="Arial"/>
          <w:sz w:val="20"/>
          <w:szCs w:val="20"/>
        </w:rPr>
        <w:t xml:space="preserve"> </w:t>
      </w:r>
      <w:r w:rsidRPr="002D2AE0">
        <w:rPr>
          <w:rFonts w:ascii="Arial" w:hAnsi="Arial" w:cs="Arial"/>
          <w:sz w:val="20"/>
          <w:szCs w:val="20"/>
        </w:rPr>
        <w:t>The consent item should appear as a single explicit line suitable for ticking or selecting, such as: “</w:t>
      </w:r>
      <w:r w:rsidRPr="002D2AE0">
        <w:rPr>
          <w:rFonts w:ascii="Segoe UI Symbol" w:hAnsi="Segoe UI Symbol" w:cs="Segoe UI Symbol"/>
          <w:sz w:val="20"/>
          <w:szCs w:val="20"/>
        </w:rPr>
        <w:t>☐</w:t>
      </w:r>
      <w:r w:rsidRPr="002D2AE0">
        <w:rPr>
          <w:rFonts w:ascii="Arial" w:hAnsi="Arial" w:cs="Arial"/>
          <w:sz w:val="20"/>
          <w:szCs w:val="20"/>
        </w:rPr>
        <w:t xml:space="preserve"> I have read the information above and I consent to take part in this study.” If the ethics structure requires separate confirmation items for age, consent, and understanding, then the questionnaire must reflect that instead of forcing one line.</w:t>
      </w:r>
    </w:p>
    <w:p w14:paraId="2C251123" w14:textId="1B1B7F7E" w:rsidR="00970965" w:rsidRPr="002D2AE0" w:rsidRDefault="00970965" w:rsidP="002D2AE0">
      <w:pPr>
        <w:pStyle w:val="NormalWeb"/>
        <w:jc w:val="both"/>
        <w:rPr>
          <w:rFonts w:ascii="Arial" w:hAnsi="Arial" w:cs="Arial"/>
          <w:sz w:val="20"/>
          <w:szCs w:val="20"/>
        </w:rPr>
      </w:pPr>
      <w:r w:rsidRPr="002D2AE0">
        <w:rPr>
          <w:rFonts w:ascii="Arial" w:hAnsi="Arial" w:cs="Arial"/>
          <w:b/>
          <w:bCs/>
          <w:sz w:val="20"/>
          <w:szCs w:val="20"/>
        </w:rPr>
        <w:t>Ethics and Data Protection Accuracy Rule</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Ethics wording must never be generic if study-specific ethics information is available. The AI must ensure that statements about confidentiality, anonymity, voluntary participation, withdrawal, storage, data access, risk, and retention are internally consistent and accurate. The instrument must not state both that data is anonymous and that the researcher may contact participants later unless the study uses a separate contact form. The instrument must not claim “complete confidentiality” if the survey is administered through workplace channels that may compromise privacy; in such cases it must use more precise wording such as “responses will be treated confidentially and stored securely.” Where the study involves sensitive topics, vulnerable populations, workplace hierarchies, or potential distress, the opening text must acknowledge that carefully and, where appropriate, include a simple signposting sentence for support or non-participation rights.</w:t>
      </w:r>
    </w:p>
    <w:p w14:paraId="552B92EC" w14:textId="71E3A7EA" w:rsidR="00970965" w:rsidRPr="002D2AE0" w:rsidRDefault="00970965" w:rsidP="00AD7573">
      <w:pPr>
        <w:pStyle w:val="NormalWeb"/>
        <w:jc w:val="both"/>
        <w:rPr>
          <w:rFonts w:ascii="Arial" w:hAnsi="Arial" w:cs="Arial"/>
          <w:sz w:val="20"/>
          <w:szCs w:val="20"/>
        </w:rPr>
      </w:pPr>
      <w:r w:rsidRPr="002D2AE0">
        <w:rPr>
          <w:rFonts w:ascii="Arial" w:hAnsi="Arial" w:cs="Arial"/>
          <w:b/>
          <w:bCs/>
          <w:sz w:val="20"/>
          <w:szCs w:val="20"/>
        </w:rPr>
        <w:t>Instructions to Participants</w:t>
      </w:r>
      <w:r w:rsidR="002D2AE0" w:rsidRPr="002D2AE0">
        <w:rPr>
          <w:rFonts w:ascii="Arial" w:hAnsi="Arial" w:cs="Arial"/>
          <w:b/>
          <w:bCs/>
          <w:sz w:val="20"/>
          <w:szCs w:val="20"/>
        </w:rPr>
        <w:t>:</w:t>
      </w:r>
      <w:r w:rsidR="002D2AE0">
        <w:rPr>
          <w:rFonts w:ascii="Arial" w:hAnsi="Arial" w:cs="Arial"/>
          <w:sz w:val="20"/>
          <w:szCs w:val="20"/>
        </w:rPr>
        <w:t xml:space="preserve"> </w:t>
      </w:r>
      <w:r w:rsidRPr="002D2AE0">
        <w:rPr>
          <w:rFonts w:ascii="Arial" w:hAnsi="Arial" w:cs="Arial"/>
          <w:sz w:val="20"/>
          <w:szCs w:val="20"/>
        </w:rPr>
        <w:t>Write the instructions in one short, plain-English block immediately before the main questions begin. The wording must tell respondents exactly how to answer. If a Likert scale is used, state clearly that participants should choose the option that best reflects their view or experience for each statement. If some items require categorical selection instead, this must be stated clearly in the relevant section. Instructions must be short, easy to follow, and free from jargon.</w:t>
      </w:r>
    </w:p>
    <w:p w14:paraId="1CE189CA" w14:textId="1F0B1B31"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lastRenderedPageBreak/>
        <w:t>Response Scale Standard</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Where the study is a standard quantitative dissertation using construct measurement, use a consistent 5-point Likert scale unless the study design requires another scale already specified in the uploaded materials. Display the anchors clearly and consistently. The standard form is: Strongly Agree | Agree | Neutral | Disagree | Strongly Disagree. Do not vary the order or wording across sections without reason. If the study would be better served by a frequency scale, importance scale, satisfaction scale, or confidence scale, the AI may use that only if it is conceptually justified by the construct and consistent with the methodology.</w:t>
      </w:r>
    </w:p>
    <w:p w14:paraId="472BE8C4" w14:textId="1D8866A7" w:rsidR="00970965" w:rsidRPr="00AD7573" w:rsidRDefault="00970965" w:rsidP="00AD7573">
      <w:pPr>
        <w:pStyle w:val="NormalWeb"/>
        <w:jc w:val="both"/>
        <w:rPr>
          <w:rFonts w:ascii="Arial" w:hAnsi="Arial" w:cs="Arial"/>
          <w:b/>
          <w:bCs/>
          <w:sz w:val="20"/>
          <w:szCs w:val="20"/>
        </w:rPr>
      </w:pPr>
      <w:r w:rsidRPr="00AD7573">
        <w:rPr>
          <w:rFonts w:ascii="Arial" w:hAnsi="Arial" w:cs="Arial"/>
          <w:b/>
          <w:bCs/>
          <w:sz w:val="20"/>
          <w:szCs w:val="20"/>
        </w:rPr>
        <w:t>Demographic Section Design</w:t>
      </w:r>
      <w:r w:rsidR="00AD7573">
        <w:rPr>
          <w:rFonts w:ascii="Arial" w:hAnsi="Arial" w:cs="Arial"/>
          <w:b/>
          <w:bCs/>
          <w:sz w:val="20"/>
          <w:szCs w:val="20"/>
        </w:rPr>
        <w:t xml:space="preserve">: </w:t>
      </w:r>
      <w:r w:rsidRPr="002D2AE0">
        <w:rPr>
          <w:rFonts w:ascii="Arial" w:hAnsi="Arial" w:cs="Arial"/>
          <w:sz w:val="20"/>
          <w:szCs w:val="20"/>
        </w:rPr>
        <w:t>Create a demographic section that is analytically relevant to the study rather than overloaded with conventional but unnecessary items. The section should normally contain 6 to 10 categorical items, but the exact number must be determined by analytical need and ethics proportionality. Include only demographic or contextual variables that support subgroup analysis, sample description, inclusion screening, or interpretation of findings. Questions must be mutually exclusive where possible and collectively exhaustive where needed. Sensitive questions must include “Prefer not to say” where appropriate.</w:t>
      </w:r>
      <w:r w:rsidR="00AD7573">
        <w:rPr>
          <w:rFonts w:ascii="Arial" w:hAnsi="Arial" w:cs="Arial"/>
          <w:b/>
          <w:bCs/>
          <w:sz w:val="20"/>
          <w:szCs w:val="20"/>
        </w:rPr>
        <w:t xml:space="preserve"> </w:t>
      </w:r>
      <w:r w:rsidRPr="002D2AE0">
        <w:rPr>
          <w:rFonts w:ascii="Arial" w:hAnsi="Arial" w:cs="Arial"/>
          <w:sz w:val="20"/>
          <w:szCs w:val="20"/>
        </w:rPr>
        <w:t>The demographic categories must be adapted to [POPULATION/CONTEXT] and the actual study design. Avoid demographic items that have no analytical role. If the study examines organisational behaviour, occupation, years of experience, sector, institution type, and level of responsibility may matter more than marital status or ethnicity unless these are analytically justified. If the ethics form restricts certain demographic collection, follow that restriction. The demographic section must be suitable for frequencies, percentages, and subgroup testing such as t-tests, ANOVA, chi-square, or non-parametric comparisons where relevant.</w:t>
      </w:r>
    </w:p>
    <w:p w14:paraId="3E82C0B7" w14:textId="6B747C51" w:rsidR="00970965" w:rsidRPr="00AD7573" w:rsidRDefault="00970965" w:rsidP="00AD7573">
      <w:pPr>
        <w:pStyle w:val="NormalWeb"/>
        <w:jc w:val="both"/>
        <w:rPr>
          <w:rFonts w:ascii="Arial" w:hAnsi="Arial" w:cs="Arial"/>
          <w:b/>
          <w:bCs/>
          <w:sz w:val="20"/>
          <w:szCs w:val="20"/>
        </w:rPr>
      </w:pPr>
      <w:r w:rsidRPr="00AD7573">
        <w:rPr>
          <w:rFonts w:ascii="Arial" w:hAnsi="Arial" w:cs="Arial"/>
          <w:b/>
          <w:bCs/>
          <w:sz w:val="20"/>
          <w:szCs w:val="20"/>
        </w:rPr>
        <w:t>Construct Measurement Sections</w:t>
      </w:r>
      <w:r w:rsidR="00AD7573">
        <w:rPr>
          <w:rFonts w:ascii="Arial" w:hAnsi="Arial" w:cs="Arial"/>
          <w:b/>
          <w:bCs/>
          <w:sz w:val="20"/>
          <w:szCs w:val="20"/>
        </w:rPr>
        <w:t xml:space="preserve">: </w:t>
      </w:r>
      <w:r w:rsidRPr="002D2AE0">
        <w:rPr>
          <w:rFonts w:ascii="Arial" w:hAnsi="Arial" w:cs="Arial"/>
          <w:sz w:val="20"/>
          <w:szCs w:val="20"/>
        </w:rPr>
        <w:t>Each substantive construct must be measured in its own clearly labelled section. The number of items per construct should normally be 4 to 6, with 5 as the default target unless the study materials indicate otherwise. This means [VARIABLE 1], [VARIABLE 2], [VARIABLE 3], [VARIABLE 4] where applicable, and [DEPENDENT VARIABLE] should each have a dedicated block of statements.</w:t>
      </w:r>
      <w:r w:rsidR="00AD7573">
        <w:rPr>
          <w:rFonts w:ascii="Arial" w:hAnsi="Arial" w:cs="Arial"/>
          <w:b/>
          <w:bCs/>
          <w:sz w:val="20"/>
          <w:szCs w:val="20"/>
        </w:rPr>
        <w:t xml:space="preserve"> </w:t>
      </w:r>
      <w:r w:rsidRPr="002D2AE0">
        <w:rPr>
          <w:rFonts w:ascii="Arial" w:hAnsi="Arial" w:cs="Arial"/>
          <w:sz w:val="20"/>
          <w:szCs w:val="20"/>
        </w:rPr>
        <w:t>The AI must not invent random items. It must infer the theoretical dimensions of each construct from the dissertation topic and any uploaded literature, conceptual framework, methodology, or proposal material. The item set for each construct should reflect those dimensions in balanced form. If the construct is multi-dimensional, the items should sample those dimensions sensibly rather than clustering around one narrow aspect. Items must not merely repeat the construct name in slightly different wording.</w:t>
      </w:r>
      <w:r w:rsidR="00AD7573">
        <w:rPr>
          <w:rFonts w:ascii="Arial" w:hAnsi="Arial" w:cs="Arial"/>
          <w:sz w:val="20"/>
          <w:szCs w:val="20"/>
        </w:rPr>
        <w:t xml:space="preserve"> </w:t>
      </w:r>
      <w:r w:rsidR="00AD7573" w:rsidRPr="002D2AE0">
        <w:rPr>
          <w:rFonts w:ascii="Arial" w:hAnsi="Arial" w:cs="Arial"/>
          <w:sz w:val="20"/>
          <w:szCs w:val="20"/>
        </w:rPr>
        <w:t>For each construct, ensure the final item set reflects more than one aspect of the concept where theoretically appropriate. Do not write five near-duplicate items. Aim for internal consistency without redundancy. Each item should contribute distinct measurement value while still belonging clearly to the same construct.</w:t>
      </w:r>
      <w:r w:rsidR="00AD7573">
        <w:rPr>
          <w:rFonts w:ascii="Arial" w:hAnsi="Arial" w:cs="Arial"/>
          <w:b/>
          <w:bCs/>
          <w:sz w:val="20"/>
          <w:szCs w:val="20"/>
        </w:rPr>
        <w:t xml:space="preserve"> </w:t>
      </w:r>
      <w:r w:rsidRPr="002D2AE0">
        <w:rPr>
          <w:rFonts w:ascii="Arial" w:hAnsi="Arial" w:cs="Arial"/>
          <w:sz w:val="20"/>
          <w:szCs w:val="20"/>
        </w:rPr>
        <w:t>Every item must express one idea only. No double-barrelled questions. No leading phrasing. No moral or socially desirable wording. No emotionally loaded wording unless the construct itself concerns emotional experience and the study materials support that. No vague quantifiers such as “often” or “usually” unless they are appropriate to the construct and clearly interpretable. No academic language that ordinary respondents may not understand. Items must sound natural when read aloud.</w:t>
      </w:r>
      <w:r w:rsidR="00AD7573">
        <w:rPr>
          <w:rFonts w:ascii="Arial" w:hAnsi="Arial" w:cs="Arial"/>
          <w:b/>
          <w:bCs/>
          <w:sz w:val="20"/>
          <w:szCs w:val="20"/>
        </w:rPr>
        <w:t xml:space="preserve"> </w:t>
      </w:r>
      <w:r w:rsidRPr="002D2AE0">
        <w:rPr>
          <w:rFonts w:ascii="Arial" w:hAnsi="Arial" w:cs="Arial"/>
          <w:sz w:val="20"/>
          <w:szCs w:val="20"/>
        </w:rPr>
        <w:t>Reverse-worded items should be used carefully rather than mechanically. Include them only where they improve attentiveness and scale balance without creating confusion. Normally, each multi-item construct may include 1 well-designed reverse-coded item, but only if it can be written clearly and naturally. If the study population is likely to be confused by reverse wording, prioritise clarity over forced reversal. If reverse-coded items are used, include a researcher-only note beneath the section indicating which item requires reverse coding. That note must be clearly marked as not for participant display if the questionnaire is to be fielded.</w:t>
      </w:r>
    </w:p>
    <w:p w14:paraId="4CBE6989" w14:textId="7A681C61" w:rsidR="00970965" w:rsidRPr="00AD7573" w:rsidRDefault="00970965" w:rsidP="00AD7573">
      <w:pPr>
        <w:pStyle w:val="NormalWeb"/>
        <w:jc w:val="both"/>
        <w:rPr>
          <w:rFonts w:ascii="Arial" w:hAnsi="Arial" w:cs="Arial"/>
          <w:b/>
          <w:bCs/>
          <w:sz w:val="20"/>
          <w:szCs w:val="20"/>
        </w:rPr>
      </w:pPr>
      <w:r w:rsidRPr="00AD7573">
        <w:rPr>
          <w:rFonts w:ascii="Arial" w:hAnsi="Arial" w:cs="Arial"/>
          <w:b/>
          <w:bCs/>
          <w:sz w:val="20"/>
          <w:szCs w:val="20"/>
        </w:rPr>
        <w:t>Measurement Alignment Rule</w:t>
      </w:r>
      <w:r w:rsidR="00AD7573">
        <w:rPr>
          <w:rFonts w:ascii="Arial" w:hAnsi="Arial" w:cs="Arial"/>
          <w:b/>
          <w:bCs/>
          <w:sz w:val="20"/>
          <w:szCs w:val="20"/>
        </w:rPr>
        <w:t xml:space="preserve">: </w:t>
      </w:r>
      <w:r w:rsidRPr="002D2AE0">
        <w:rPr>
          <w:rFonts w:ascii="Arial" w:hAnsi="Arial" w:cs="Arial"/>
          <w:sz w:val="20"/>
          <w:szCs w:val="20"/>
        </w:rPr>
        <w:t>Each item must be capable of generating data suitable for the intended statistical analysis. That means the item pool should support internal consistency testing, composite score creation, correlation analysis, regression analysis, subgroup comparison, and where applicable moderation or mediation modelling. The questionnaire must therefore produce a clean structure for scale construction. Constructs should have enough items for reliability testing, but not so many that the instrument becomes repetitive or burdensome.</w:t>
      </w:r>
    </w:p>
    <w:p w14:paraId="148DB8EB" w14:textId="0D2E1942" w:rsidR="00970965" w:rsidRPr="00AD7573" w:rsidRDefault="00970965" w:rsidP="00AD7573">
      <w:pPr>
        <w:pStyle w:val="NormalWeb"/>
        <w:jc w:val="both"/>
        <w:rPr>
          <w:rFonts w:ascii="Arial" w:hAnsi="Arial" w:cs="Arial"/>
          <w:b/>
          <w:bCs/>
          <w:sz w:val="20"/>
          <w:szCs w:val="20"/>
        </w:rPr>
      </w:pPr>
      <w:r w:rsidRPr="00AD7573">
        <w:rPr>
          <w:rFonts w:ascii="Arial" w:hAnsi="Arial" w:cs="Arial"/>
          <w:b/>
          <w:bCs/>
          <w:sz w:val="20"/>
          <w:szCs w:val="20"/>
        </w:rPr>
        <w:t>Construct Validity Rule</w:t>
      </w:r>
      <w:r w:rsidR="00AD7573">
        <w:rPr>
          <w:rFonts w:ascii="Arial" w:hAnsi="Arial" w:cs="Arial"/>
          <w:b/>
          <w:bCs/>
          <w:sz w:val="20"/>
          <w:szCs w:val="20"/>
        </w:rPr>
        <w:t xml:space="preserve">: </w:t>
      </w:r>
      <w:r w:rsidRPr="002D2AE0">
        <w:rPr>
          <w:rFonts w:ascii="Arial" w:hAnsi="Arial" w:cs="Arial"/>
          <w:sz w:val="20"/>
          <w:szCs w:val="20"/>
        </w:rPr>
        <w:t xml:space="preserve">The instrument must show conceptual discipline. Items should represent the construct, not adjacent concepts. Overlap between sections must be minimised. The dependent variable section must not simply duplicate the predictors in outcome language. The moderator or mediator section, where included, must be distinct enough to justify later modelling. If uploaded materials indicate an existing validated scale or adapted item source, the AI should preserve that logic </w:t>
      </w:r>
      <w:r w:rsidRPr="002D2AE0">
        <w:rPr>
          <w:rFonts w:ascii="Arial" w:hAnsi="Arial" w:cs="Arial"/>
          <w:sz w:val="20"/>
          <w:szCs w:val="20"/>
        </w:rPr>
        <w:lastRenderedPageBreak/>
        <w:t>while simplifying wording for participant usability where appropriate. If adaptation occurs, the instrument must remain faithful to the original construct meaning.</w:t>
      </w:r>
    </w:p>
    <w:p w14:paraId="26B93620" w14:textId="1B391C8E" w:rsidR="00970965" w:rsidRPr="00AD7573" w:rsidRDefault="00970965" w:rsidP="00AD7573">
      <w:pPr>
        <w:pStyle w:val="NormalWeb"/>
        <w:jc w:val="both"/>
        <w:rPr>
          <w:rFonts w:ascii="Arial" w:hAnsi="Arial" w:cs="Arial"/>
          <w:b/>
          <w:bCs/>
          <w:sz w:val="20"/>
          <w:szCs w:val="20"/>
        </w:rPr>
      </w:pPr>
      <w:r w:rsidRPr="00AD7573">
        <w:rPr>
          <w:rFonts w:ascii="Arial" w:hAnsi="Arial" w:cs="Arial"/>
          <w:b/>
          <w:bCs/>
          <w:sz w:val="20"/>
          <w:szCs w:val="20"/>
        </w:rPr>
        <w:t>Researcher-Only Technical Notes</w:t>
      </w:r>
      <w:r w:rsidR="00AD7573">
        <w:rPr>
          <w:rFonts w:ascii="Arial" w:hAnsi="Arial" w:cs="Arial"/>
          <w:b/>
          <w:bCs/>
          <w:sz w:val="20"/>
          <w:szCs w:val="20"/>
        </w:rPr>
        <w:t xml:space="preserve">: </w:t>
      </w:r>
      <w:r w:rsidRPr="002D2AE0">
        <w:rPr>
          <w:rFonts w:ascii="Arial" w:hAnsi="Arial" w:cs="Arial"/>
          <w:sz w:val="20"/>
          <w:szCs w:val="20"/>
        </w:rPr>
        <w:t>Where appropriate, include a short researcher-only note beneath each construct section stating the SPSS variable names and indicating any reverse-coded items. These notes must be clearly marked as not for participant display if the questionnaire is being prepared for respondents. Variable naming should follow a consistent logic, such as IV1_1 to IV1_5, IV2_1 to IV2_5, IV3_1 to IV3_5, MV1_1 to MV1_5 where relevant, and DV1_1 to DV1_5. If the study has a different variable-coding convention in the uploaded materials, follow that instead.</w:t>
      </w:r>
    </w:p>
    <w:p w14:paraId="77FC7B33" w14:textId="2DA3BA73"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t>Output Format Requirement</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The questionnaire output must be clean, sectioned, and ready to paste into Word. Use the following overall order unless the study materials require a different approved sequence: title; introductory information and consent; instructions; demographic or screening questions; construct measurement sections in a logical order; closing statement. Use clear section headings. Ensure spacing between items is adequate. Response options must be displayed clearly. The finished document should look professional enough for ethics review, supervisor review, pilot testing, and participant administration.</w:t>
      </w:r>
    </w:p>
    <w:p w14:paraId="628204E3" w14:textId="2AF2EC35"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t>Closing Statement</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End with a short closing statement thanking the participant for their time. Reaffirm the handling of responses in line with the ethics wording actually used in the study. Confirm the retention timeline only if it has already been established in the ethics or study materials or otherwise constructed consistently. Provide the researcher’s name, email address, and institution exactly as supplied. If the study uses a supervisor contact or formal complaints route in the ethics documents, include that only if it is actually present in the source materials.</w:t>
      </w:r>
    </w:p>
    <w:p w14:paraId="42FC5669" w14:textId="680A9912"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t>Statistical Alignment Requirement</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The questionnaire must enable, where relevant to the study design, descriptive statistics, means and standard deviations for scale items or constructs, reliability analysis such as Cronbach’s alpha, correlations, regression analysis, subgroup comparisons, and moderation or mediation analysis if the dissertation includes them. The instrument must therefore be analytically coherent. It must not contain items that cannot be meaningfully coded or analysed. Demographic items must support frequency and percentage analysis and, where relevant, group-based testing. Construct items must support scale construction.</w:t>
      </w:r>
    </w:p>
    <w:p w14:paraId="409818FC" w14:textId="0F671DF3"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t>Output-Control Rule</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The AI must not merely produce a questionnaire. It must produce a complete instrument package in this order unless told otherwise: first, a short “instrument design note” for the researcher stating the logic of the questionnaire, the constructs covered, any assumptions made from uploaded documents, and any ethics-sensitive points to verify before use; second, the participant-facing questionnaire itself in clean Word-ready form; third, a compact researcher appendix listing variable names, reverse-coded items, coding notes, and the intended construct grouping for SPSS. The researcher-facing notes must be clearly separated from the participant-facing instrument so they are not accidentally shown to participants.</w:t>
      </w:r>
    </w:p>
    <w:p w14:paraId="6AAD1497" w14:textId="116D95AA"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t>Quality Standard for the Highest-Level Output</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At the highest standard, the questionnaire must feel study-specific, ethically coherent, statistically usable, and human-readable. It should read like a real instrument that could survive supervisor scrutiny, ethics scrutiny, pilot use, and data analysis. Nothing should feel generic. Nothing should contradict the study documents. Nothing should confuse participants. Nothing should weaken later analysis. The strongest output will show that the questionnaire has been designed from the dissertation outward, not from a template inward.</w:t>
      </w:r>
    </w:p>
    <w:p w14:paraId="32C0CDF7" w14:textId="74533C9D" w:rsidR="00970965" w:rsidRPr="002D2AE0" w:rsidRDefault="00970965" w:rsidP="00AD7573">
      <w:pPr>
        <w:pStyle w:val="NormalWeb"/>
        <w:jc w:val="both"/>
        <w:rPr>
          <w:rFonts w:ascii="Arial" w:hAnsi="Arial" w:cs="Arial"/>
          <w:sz w:val="20"/>
          <w:szCs w:val="20"/>
        </w:rPr>
      </w:pPr>
      <w:r w:rsidRPr="00AD7573">
        <w:rPr>
          <w:rFonts w:ascii="Arial" w:hAnsi="Arial" w:cs="Arial"/>
          <w:b/>
          <w:bCs/>
          <w:sz w:val="20"/>
          <w:szCs w:val="20"/>
        </w:rPr>
        <w:t>Mandatory Integrity Checks Before Finalising</w:t>
      </w:r>
      <w:r w:rsidR="00AD7573" w:rsidRPr="00AD7573">
        <w:rPr>
          <w:rFonts w:ascii="Arial" w:hAnsi="Arial" w:cs="Arial"/>
          <w:b/>
          <w:bCs/>
          <w:sz w:val="20"/>
          <w:szCs w:val="20"/>
        </w:rPr>
        <w:t>:</w:t>
      </w:r>
      <w:r w:rsidR="00AD7573">
        <w:rPr>
          <w:rFonts w:ascii="Arial" w:hAnsi="Arial" w:cs="Arial"/>
          <w:sz w:val="20"/>
          <w:szCs w:val="20"/>
        </w:rPr>
        <w:t xml:space="preserve"> </w:t>
      </w:r>
      <w:r w:rsidRPr="002D2AE0">
        <w:rPr>
          <w:rFonts w:ascii="Arial" w:hAnsi="Arial" w:cs="Arial"/>
          <w:sz w:val="20"/>
          <w:szCs w:val="20"/>
        </w:rPr>
        <w:t>Before finalising the output, confirm silently that the following conditions have been satisfied. The instrument matches the study title, variables, population, and methodology. The ethics wording matches any uploaded ethics materials or is internally consistent if no such materials were provided. The questionnaire does not promise more anonymity, withdrawal rights, or data protections than the design can actually deliver. The constructs are measured distinctly and clearly. The demographic section is relevant and not bloated. The items are simple, non-leading, single-idea, and analytically usable. The output is separated cleanly into researcher-facing and participant-facing sections. If any of these conditions are not met, revise before output.</w:t>
      </w:r>
    </w:p>
    <w:p w14:paraId="29AA3FB8" w14:textId="4F73A8F3" w:rsidR="00970965" w:rsidRPr="00AD7573" w:rsidRDefault="00970965">
      <w:pPr>
        <w:pStyle w:val="NormalWeb"/>
        <w:rPr>
          <w:rFonts w:ascii="Arial" w:hAnsi="Arial" w:cs="Arial"/>
          <w:i/>
          <w:iCs/>
          <w:sz w:val="20"/>
          <w:szCs w:val="20"/>
        </w:rPr>
      </w:pPr>
      <w:r w:rsidRPr="00AD7573">
        <w:rPr>
          <w:rFonts w:ascii="Arial" w:hAnsi="Arial" w:cs="Arial"/>
          <w:i/>
          <w:iCs/>
          <w:sz w:val="20"/>
          <w:szCs w:val="20"/>
        </w:rPr>
        <w:lastRenderedPageBreak/>
        <w:t>Suggested Set</w:t>
      </w:r>
      <w:r w:rsidR="00AD7573" w:rsidRPr="00AD7573">
        <w:rPr>
          <w:rFonts w:ascii="Arial" w:hAnsi="Arial" w:cs="Arial"/>
          <w:i/>
          <w:iCs/>
          <w:sz w:val="20"/>
          <w:szCs w:val="20"/>
        </w:rPr>
        <w:t xml:space="preserve"> (This is a template)</w:t>
      </w:r>
    </w:p>
    <w:p w14:paraId="035B3829" w14:textId="77777777" w:rsidR="00970965" w:rsidRPr="002D2AE0" w:rsidRDefault="00970965" w:rsidP="00AD7573">
      <w:pPr>
        <w:pStyle w:val="NormalWeb"/>
        <w:jc w:val="both"/>
        <w:rPr>
          <w:rFonts w:ascii="Arial" w:hAnsi="Arial" w:cs="Arial"/>
          <w:sz w:val="20"/>
          <w:szCs w:val="20"/>
        </w:rPr>
      </w:pPr>
      <w:r w:rsidRPr="002D2AE0">
        <w:rPr>
          <w:rFonts w:ascii="Arial" w:hAnsi="Arial" w:cs="Arial"/>
          <w:sz w:val="20"/>
          <w:szCs w:val="20"/>
        </w:rPr>
        <w:t>Replace the following before use: [TOPIC], [DEPENDENT VARIABLE], [VARIABLE 1], [VARIABLE 2], [VARIABLE 3], [VARIABLE 4 if applicable], [POPULATION/CONTEXT], [INSTRUMENT TITLE], [RESEARCHER NAME], [RESEARCHER EMAIL], [INSTITUTION], and any ethics-specific placeholders such as [DATA RETENTION PERIOD], [WITHDRAWAL WINDOW], [SUPERVISOR CONTACT], or [SUPPORT CONTACT] where the study materials require them.</w:t>
      </w:r>
    </w:p>
    <w:p w14:paraId="47862705" w14:textId="77777777" w:rsidR="00970965" w:rsidRPr="002D2AE0" w:rsidRDefault="00970965">
      <w:pPr>
        <w:rPr>
          <w:rFonts w:ascii="Arial" w:hAnsi="Arial" w:cs="Arial"/>
          <w:sz w:val="20"/>
          <w:szCs w:val="20"/>
        </w:rPr>
      </w:pPr>
    </w:p>
    <w:sectPr w:rsidR="00970965" w:rsidRPr="002D2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65"/>
    <w:rsid w:val="000C478A"/>
    <w:rsid w:val="002D2AE0"/>
    <w:rsid w:val="00394157"/>
    <w:rsid w:val="00530F49"/>
    <w:rsid w:val="005C24BD"/>
    <w:rsid w:val="009000BA"/>
    <w:rsid w:val="00970965"/>
    <w:rsid w:val="00AD7573"/>
    <w:rsid w:val="00C873E6"/>
    <w:rsid w:val="00CF7E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6BD59"/>
  <w15:chartTrackingRefBased/>
  <w15:docId w15:val="{6475A50B-345E-854B-9777-00D4556B3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965"/>
    <w:rPr>
      <w:rFonts w:eastAsiaTheme="majorEastAsia" w:cstheme="majorBidi"/>
      <w:color w:val="272727" w:themeColor="text1" w:themeTint="D8"/>
    </w:rPr>
  </w:style>
  <w:style w:type="paragraph" w:styleId="Title">
    <w:name w:val="Title"/>
    <w:basedOn w:val="Normal"/>
    <w:next w:val="Normal"/>
    <w:link w:val="TitleChar"/>
    <w:uiPriority w:val="10"/>
    <w:qFormat/>
    <w:rsid w:val="00970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965"/>
    <w:pPr>
      <w:spacing w:before="160"/>
      <w:jc w:val="center"/>
    </w:pPr>
    <w:rPr>
      <w:i/>
      <w:iCs/>
      <w:color w:val="404040" w:themeColor="text1" w:themeTint="BF"/>
    </w:rPr>
  </w:style>
  <w:style w:type="character" w:customStyle="1" w:styleId="QuoteChar">
    <w:name w:val="Quote Char"/>
    <w:basedOn w:val="DefaultParagraphFont"/>
    <w:link w:val="Quote"/>
    <w:uiPriority w:val="29"/>
    <w:rsid w:val="00970965"/>
    <w:rPr>
      <w:i/>
      <w:iCs/>
      <w:color w:val="404040" w:themeColor="text1" w:themeTint="BF"/>
    </w:rPr>
  </w:style>
  <w:style w:type="paragraph" w:styleId="ListParagraph">
    <w:name w:val="List Paragraph"/>
    <w:basedOn w:val="Normal"/>
    <w:uiPriority w:val="34"/>
    <w:qFormat/>
    <w:rsid w:val="00970965"/>
    <w:pPr>
      <w:ind w:left="720"/>
      <w:contextualSpacing/>
    </w:pPr>
  </w:style>
  <w:style w:type="character" w:styleId="IntenseEmphasis">
    <w:name w:val="Intense Emphasis"/>
    <w:basedOn w:val="DefaultParagraphFont"/>
    <w:uiPriority w:val="21"/>
    <w:qFormat/>
    <w:rsid w:val="00970965"/>
    <w:rPr>
      <w:i/>
      <w:iCs/>
      <w:color w:val="0F4761" w:themeColor="accent1" w:themeShade="BF"/>
    </w:rPr>
  </w:style>
  <w:style w:type="paragraph" w:styleId="IntenseQuote">
    <w:name w:val="Intense Quote"/>
    <w:basedOn w:val="Normal"/>
    <w:next w:val="Normal"/>
    <w:link w:val="IntenseQuoteChar"/>
    <w:uiPriority w:val="30"/>
    <w:qFormat/>
    <w:rsid w:val="0097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965"/>
    <w:rPr>
      <w:i/>
      <w:iCs/>
      <w:color w:val="0F4761" w:themeColor="accent1" w:themeShade="BF"/>
    </w:rPr>
  </w:style>
  <w:style w:type="character" w:styleId="IntenseReference">
    <w:name w:val="Intense Reference"/>
    <w:basedOn w:val="DefaultParagraphFont"/>
    <w:uiPriority w:val="32"/>
    <w:qFormat/>
    <w:rsid w:val="00970965"/>
    <w:rPr>
      <w:b/>
      <w:bCs/>
      <w:smallCaps/>
      <w:color w:val="0F4761" w:themeColor="accent1" w:themeShade="BF"/>
      <w:spacing w:val="5"/>
    </w:rPr>
  </w:style>
  <w:style w:type="paragraph" w:styleId="NormalWeb">
    <w:name w:val="Normal (Web)"/>
    <w:basedOn w:val="Normal"/>
    <w:uiPriority w:val="99"/>
    <w:semiHidden/>
    <w:unhideWhenUsed/>
    <w:rsid w:val="00970965"/>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3059</Words>
  <Characters>17437</Characters>
  <Application>Microsoft Office Word</Application>
  <DocSecurity>0</DocSecurity>
  <Lines>145</Lines>
  <Paragraphs>40</Paragraphs>
  <ScaleCrop>false</ScaleCrop>
  <Company/>
  <LinksUpToDate>false</LinksUpToDate>
  <CharactersWithSpaces>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8</cp:revision>
  <dcterms:created xsi:type="dcterms:W3CDTF">2026-03-26T15:22:00Z</dcterms:created>
  <dcterms:modified xsi:type="dcterms:W3CDTF">2026-03-26T20:42:00Z</dcterms:modified>
</cp:coreProperties>
</file>