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MEMORANDUM OF ARGUMENT (FICTIONAL DEMONSTRATION DOCUMENT, NOT A REAL FILING)</w:t>
      </w:r>
    </w:p>
    <w:p>
      <w:r>
        <w:t>Applicant: Mr. R. Example</w:t>
      </w:r>
    </w:p>
    <w:p>
      <w:r>
        <w:t>Respondent: The Minister of Citizenship and Immigration</w:t>
      </w:r>
    </w:p>
    <w:p>
      <w:r>
        <w:rPr>
          <w:b/>
        </w:rPr>
        <w:t>PART I - OVERVIEW</w:t>
      </w:r>
    </w:p>
    <w:p>
      <w:r>
        <w:t>1. The Applicant seeks judicial review of a decision of the Refugee Protection Division that his refugee protection has ceased under paragraph 108(1)(a) of the Immigration and Refugee Protection Act, S.C. 2001, c. 27 (IRPA). The application is brought under section 72 of the IRPA and section 18.1 of the Federal Courts Act, R.S.C. 1985, c. F-7.</w:t>
      </w:r>
    </w:p>
    <w:p>
      <w:r>
        <w:t>2. The decision is reviewed on the reasonableness standard: Canada (Minister of Citizenship and Immigration) v. Vavilov, 2019 SCC 65 at paras 10, 99.</w:t>
      </w:r>
    </w:p>
    <w:p>
      <w:r>
        <w:rPr>
          <w:b/>
        </w:rPr>
        <w:t>PART II - FACTS</w:t>
      </w:r>
    </w:p>
    <w:p>
      <w:r>
        <w:t>3. The Applicant, a citizen of India, was recognized as a Convention refugee in 2014. In 2022 he renewed his Indian passport to attend a family funeral and travelled to India for nine days.</w:t>
      </w:r>
    </w:p>
    <w:p>
      <w:r>
        <w:t>4. The Minister applied to cease his protection under subsection 108(2) of the IRPA. The Member found that he had voluntarily reavailed himself of the protection of India and allowed the Minister's application.</w:t>
      </w:r>
    </w:p>
    <w:p>
      <w:r>
        <w:rPr>
          <w:b/>
        </w:rPr>
        <w:t>PART III - ISSUES</w:t>
      </w:r>
    </w:p>
    <w:p>
      <w:r>
        <w:t>5. Did the Member unreasonably find that the Applicant intended to reavail himself of the protection of India?</w:t>
      </w:r>
    </w:p>
    <w:p>
      <w:r>
        <w:t>6. Did the Member breach procedural fairness by relying on evidence the Applicant was not shown?</w:t>
      </w:r>
    </w:p>
    <w:p>
      <w:r>
        <w:rPr>
          <w:b/>
        </w:rPr>
        <w:t>PART IV - LAW AND ARGUMENT</w:t>
      </w:r>
    </w:p>
    <w:p>
      <w:r>
        <w:t>7. The Member's reasons must be justified, intelligible and transparent: Vavilov, above at para 99. They must show that the Member grappled with the Applicant's explanation. Ibid at para 100.</w:t>
      </w:r>
    </w:p>
    <w:p>
      <w:r>
        <w:t>8. Procedural fairness is assessed on the contextual factors in Baker v. Canada (Minister of Citizenship and Immigration), [1999] 2 S.C.R. 817 at paras 21-28.</w:t>
      </w:r>
    </w:p>
    <w:p>
      <w:r>
        <w:t>9. Courts give weight to a tribunal's findings of fact: Canada (Citizenship and Immigration) v. Khosa, 2009 SCC 12 at paras 59-62; Dunsmuir v. New Brunswick, 2008 SCC 9 at para 47. That deference does not excuse reasons that ignore the evidence.</w:t>
      </w:r>
    </w:p>
    <w:p>
      <w:r>
        <w:t>10. The Member treated the passport renewal as conclusive. Intent is a question of fact, and a short visit for a family funeral points the other way. The Member's approach was inconsistent with the principle that hardship must be assessed in context: Kanthasamy v. Canada (Citizenship and Immigration), 2015 SCC 61 at paras 21-23, 33.</w:t>
      </w:r>
    </w:p>
    <w:p>
      <w:r>
        <w:t>11. A recent decision of this Court confirms that a bare finding of reavailment, without reasons on intent, cannot stand: Smith v. Canada (Minister of Citizenship and Immigration), 2021 FC 999 at para 14. Subsection 108(1) of the IRPA does not make a passport renewal conclusive.</w:t>
      </w:r>
    </w:p>
    <w:p>
      <w:r>
        <w:rPr>
          <w:b/>
        </w:rPr>
        <w:t>PART V - ORDER SOUGHT</w:t>
      </w:r>
    </w:p>
    <w:p>
      <w:r>
        <w:t>12. The Applicant asks that the decision be set aside and the matter returned to a differently constituted panel.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Argument (fictional demonstration)</dc:title>
  <dc:subject/>
  <dc:creator>iLit tour (fictional)</dc:creator>
  <cp:keywords/>
  <dc:description>Fictional demonstration document for the iLit site tour. Not a real filing.</dc:description>
  <cp:lastModifiedBy>iLit tour</cp:lastModifiedBy>
  <cp:revision>1</cp:revision>
  <dcterms:created xsi:type="dcterms:W3CDTF">2026-10-07T00:00:00Z</dcterms:created>
  <dcterms:modified xsi:type="dcterms:W3CDTF">2026-10-07T00:00:00Z</dcterms:modified>
  <cp:category/>
</cp:coreProperties>
</file>