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Gaps and PMCF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gap_id</w:t>
            </w:r>
          </w:p>
        </w:tc>
        <w:tc>
          <w:tcPr>
            <w:tcW w:type="dxa" w:w="960"/>
          </w:tcPr>
          <w:p>
            <w:r>
              <w:t>required_input</w:t>
            </w:r>
          </w:p>
        </w:tc>
        <w:tc>
          <w:tcPr>
            <w:tcW w:type="dxa" w:w="960"/>
          </w:tcPr>
          <w:p>
            <w:r>
              <w:t>impact</w:t>
            </w:r>
          </w:p>
        </w:tc>
        <w:tc>
          <w:tcPr>
            <w:tcW w:type="dxa" w:w="960"/>
          </w:tcPr>
          <w:p>
            <w:r>
              <w:t>gap</w:t>
            </w:r>
          </w:p>
        </w:tc>
        <w:tc>
          <w:tcPr>
            <w:tcW w:type="dxa" w:w="960"/>
          </w:tcPr>
          <w:p>
            <w:r>
              <w:t>gap_type</w:t>
            </w:r>
          </w:p>
        </w:tc>
        <w:tc>
          <w:tcPr>
            <w:tcW w:type="dxa" w:w="960"/>
          </w:tcPr>
          <w:p>
            <w:r>
              <w:t>affected_claim_ids</w:t>
            </w:r>
          </w:p>
        </w:tc>
        <w:tc>
          <w:tcPr>
            <w:tcW w:type="dxa" w:w="960"/>
          </w:tcPr>
          <w:p>
            <w:r>
              <w:t>affected_endpoint_ids</w:t>
            </w:r>
          </w:p>
        </w:tc>
        <w:tc>
          <w:tcPr>
            <w:tcW w:type="dxa" w:w="960"/>
          </w:tcPr>
          <w:p>
            <w:r>
              <w:t>severity</w:t>
            </w:r>
          </w:p>
        </w:tc>
        <w:tc>
          <w:tcPr>
            <w:tcW w:type="dxa" w:w="960"/>
          </w:tcPr>
          <w:p>
            <w:r>
              <w:t>pmcf_measure</w:t>
            </w:r>
          </w:p>
        </w:tc>
      </w:tr>
      <w:tr>
        <w:tc>
          <w:tcPr>
            <w:tcW w:type="dxa" w:w="960"/>
          </w:tcPr>
          <w:p>
            <w:r>
              <w:t>GAP-INPUT-EQUIVALENCE</w:t>
            </w:r>
          </w:p>
        </w:tc>
        <w:tc>
          <w:tcPr>
            <w:tcW w:type="dxa" w:w="960"/>
          </w:tcPr>
          <w:p>
            <w:r>
              <w:t>equivalence</w:t>
            </w:r>
          </w:p>
        </w:tc>
        <w:tc>
          <w:tcPr>
            <w:tcW w:type="dxa" w:w="960"/>
          </w:tcPr>
          <w:p>
            <w:r>
              <w:t>Equivalence cannot be claimed without confirmed equivalent-device documentation.</w:t>
            </w:r>
          </w:p>
        </w:tc>
        <w:tc>
          <w:tcPr>
            <w:tcW w:type="dxa" w:w="960"/>
          </w:tcPr>
          <w:p>
            <w:r>
              <w:t>Equivalence cannot be claimed without confirmed equivalent-device documentation.</w:t>
            </w:r>
          </w:p>
        </w:tc>
        <w:tc>
          <w:tcPr>
            <w:tcW w:type="dxa" w:w="960"/>
          </w:tcPr>
          <w:p>
            <w:r>
              <w:t>source_traceability_gap</w:t>
            </w:r>
          </w:p>
        </w:tc>
        <w:tc>
          <w:tcPr>
            <w:tcW w:type="dxa" w:w="960"/>
          </w:tcPr>
          <w:p>
            <w:r>
              <w:t>C-01, C-02, C-03, C-PERF-01, C-PERF-02, C-PERF-03, C-SAFE-01, C-SAFE-02</w:t>
            </w:r>
          </w:p>
        </w:tc>
        <w:tc>
          <w:tcPr>
            <w:tcW w:type="dxa" w:w="960"/>
          </w:tcPr>
          <w:p>
            <w:r>
              <w:t>endpoint mapping required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Provide equivalence and evaluator rationale before upgrading conclusions.</w:t>
            </w:r>
          </w:p>
        </w:tc>
      </w:tr>
    </w:tbl>
    <w:p>
      <w:pPr>
        <w:pStyle w:val="Heading2"/>
      </w:pPr>
      <w:r>
        <w:t>PMCF Boundary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decision_id</w:t>
            </w:r>
          </w:p>
        </w:tc>
        <w:tc>
          <w:tcPr>
            <w:tcW w:type="dxa" w:w="432"/>
          </w:tcPr>
          <w:p>
            <w:r>
              <w:t>gap_id</w:t>
            </w:r>
          </w:p>
        </w:tc>
        <w:tc>
          <w:tcPr>
            <w:tcW w:type="dxa" w:w="432"/>
          </w:tcPr>
          <w:p>
            <w:r>
              <w:t>gap_type</w:t>
            </w:r>
          </w:p>
        </w:tc>
        <w:tc>
          <w:tcPr>
            <w:tcW w:type="dxa" w:w="432"/>
          </w:tcPr>
          <w:p>
            <w:r>
              <w:t>gap</w:t>
            </w:r>
          </w:p>
        </w:tc>
        <w:tc>
          <w:tcPr>
            <w:tcW w:type="dxa" w:w="432"/>
          </w:tcPr>
          <w:p>
            <w:r>
              <w:t>affected_claim_ids</w:t>
            </w:r>
          </w:p>
        </w:tc>
        <w:tc>
          <w:tcPr>
            <w:tcW w:type="dxa" w:w="432"/>
          </w:tcPr>
          <w:p>
            <w:r>
              <w:t>affected_endpoint_ids</w:t>
            </w:r>
          </w:p>
        </w:tc>
        <w:tc>
          <w:tcPr>
            <w:tcW w:type="dxa" w:w="432"/>
          </w:tcPr>
          <w:p>
            <w:r>
              <w:t>severity</w:t>
            </w:r>
          </w:p>
        </w:tc>
        <w:tc>
          <w:tcPr>
            <w:tcW w:type="dxa" w:w="432"/>
          </w:tcPr>
          <w:p>
            <w:r>
              <w:t>pre_submission_required</w:t>
            </w:r>
          </w:p>
        </w:tc>
        <w:tc>
          <w:tcPr>
            <w:tcW w:type="dxa" w:w="432"/>
          </w:tcPr>
          <w:p>
            <w:r>
              <w:t>pre_submission_rationale</w:t>
            </w:r>
          </w:p>
        </w:tc>
        <w:tc>
          <w:tcPr>
            <w:tcW w:type="dxa" w:w="432"/>
          </w:tcPr>
          <w:p>
            <w:r>
              <w:t>pmcf_allowed</w:t>
            </w:r>
          </w:p>
        </w:tc>
        <w:tc>
          <w:tcPr>
            <w:tcW w:type="dxa" w:w="432"/>
          </w:tcPr>
          <w:p>
            <w:r>
              <w:t>pmcf_allowed_rationale</w:t>
            </w:r>
          </w:p>
        </w:tc>
        <w:tc>
          <w:tcPr>
            <w:tcW w:type="dxa" w:w="432"/>
          </w:tcPr>
          <w:p>
            <w:r>
              <w:t>claim_downgrade_required</w:t>
            </w:r>
          </w:p>
        </w:tc>
        <w:tc>
          <w:tcPr>
            <w:tcW w:type="dxa" w:w="432"/>
          </w:tcPr>
          <w:p>
            <w:r>
              <w:t>claim_downgrade_rationale</w:t>
            </w:r>
          </w:p>
        </w:tc>
        <w:tc>
          <w:tcPr>
            <w:tcW w:type="dxa" w:w="432"/>
          </w:tcPr>
          <w:p>
            <w:r>
              <w:t>claim_action</w:t>
            </w:r>
          </w:p>
        </w:tc>
        <w:tc>
          <w:tcPr>
            <w:tcW w:type="dxa" w:w="432"/>
          </w:tcPr>
          <w:p>
            <w:r>
              <w:t>benefit_risk_impact</w:t>
            </w:r>
          </w:p>
        </w:tc>
        <w:tc>
          <w:tcPr>
            <w:tcW w:type="dxa" w:w="432"/>
          </w:tcPr>
          <w:p>
            <w:r>
              <w:t>human_gate_required</w:t>
            </w:r>
          </w:p>
        </w:tc>
        <w:tc>
          <w:tcPr>
            <w:tcW w:type="dxa" w:w="432"/>
          </w:tcPr>
          <w:p>
            <w:r>
              <w:t>pmcf_measure</w:t>
            </w:r>
          </w:p>
        </w:tc>
        <w:tc>
          <w:tcPr>
            <w:tcW w:type="dxa" w:w="432"/>
          </w:tcPr>
          <w:p>
            <w:r>
              <w:t>evidence_basis</w:t>
            </w:r>
          </w:p>
        </w:tc>
        <w:tc>
          <w:tcPr>
            <w:tcW w:type="dxa" w:w="432"/>
          </w:tcPr>
          <w:p>
            <w:r>
              <w:t>source_artifact</w:t>
            </w:r>
          </w:p>
        </w:tc>
        <w:tc>
          <w:tcPr>
            <w:tcW w:type="dxa" w:w="432"/>
          </w:tcPr>
          <w:p>
            <w:r>
              <w:t>conclusion</w:t>
            </w:r>
          </w:p>
        </w:tc>
      </w:tr>
      <w:tr>
        <w:tc>
          <w:tcPr>
            <w:tcW w:type="dxa" w:w="432"/>
          </w:tcPr>
          <w:p>
            <w:r>
              <w:t>PMCF-BD-001</w:t>
            </w:r>
          </w:p>
        </w:tc>
        <w:tc>
          <w:tcPr>
            <w:tcW w:type="dxa" w:w="432"/>
          </w:tcPr>
          <w:p>
            <w:r>
              <w:t>GAP-INPUT-EQUIVALENCE</w:t>
            </w:r>
          </w:p>
        </w:tc>
        <w:tc>
          <w:tcPr>
            <w:tcW w:type="dxa" w:w="432"/>
          </w:tcPr>
          <w:p>
            <w:r>
              <w:t>source_traceability_gap</w:t>
            </w:r>
          </w:p>
        </w:tc>
        <w:tc>
          <w:tcPr>
            <w:tcW w:type="dxa" w:w="432"/>
          </w:tcPr>
          <w:p>
            <w:r>
              <w:t>Equivalence cannot be claimed without confirmed equivalent-device documentation.</w:t>
            </w:r>
          </w:p>
        </w:tc>
        <w:tc>
          <w:tcPr>
            <w:tcW w:type="dxa" w:w="432"/>
          </w:tcPr>
          <w:p>
            <w:r>
              <w:t>C-01, C-02, C-03, C-PERF-01, C-PERF-02, C-PERF-03, C-SAFE-01, C-SAFE-02</w:t>
            </w:r>
          </w:p>
        </w:tc>
        <w:tc>
          <w:tcPr>
            <w:tcW w:type="dxa" w:w="432"/>
          </w:tcPr>
          <w:p>
            <w:r>
              <w:t>endpoint mapping required</w:t>
            </w:r>
          </w:p>
        </w:tc>
        <w:tc>
          <w:tcPr>
            <w:tcW w:type="dxa" w:w="432"/>
          </w:tcPr>
          <w:p>
            <w:r>
              <w:t>medium</w:t>
            </w:r>
          </w:p>
        </w:tc>
        <w:tc>
          <w:tcPr>
            <w:tcW w:type="dxa" w:w="432"/>
          </w:tcPr>
          <w:p>
            <w:r>
              <w:t>conditional_before_submission_based_on_evaluator_materiality</w:t>
            </w:r>
          </w:p>
        </w:tc>
        <w:tc>
          <w:tcPr>
            <w:tcW w:type="dxa" w:w="432"/>
          </w:tcPr>
          <w:p>
            <w:r>
              <w:t>The gap requires evaluator triage because its impact depends on the affected claim and the availability of alternative source evidence.</w:t>
            </w:r>
          </w:p>
        </w:tc>
        <w:tc>
          <w:tcPr>
            <w:tcW w:type="dxa" w:w="432"/>
          </w:tcPr>
          <w:p>
            <w:r>
              <w:t>allowed_with_conditions_after_source_traceability_review</w:t>
            </w:r>
          </w:p>
        </w:tc>
        <w:tc>
          <w:tcPr>
            <w:tcW w:type="dxa" w:w="432"/>
          </w:tcPr>
          <w:p>
            <w:r>
              <w:t>PMCF may be used only if the gap is a residual unanswered question rather than missing evidence for a core pre-submission claim.</w:t>
            </w:r>
          </w:p>
        </w:tc>
        <w:tc>
          <w:tcPr>
            <w:tcW w:type="dxa" w:w="432"/>
          </w:tcPr>
          <w:p>
            <w:r>
              <w:t>qualification_required_until_gap_materiality_confirmed</w:t>
            </w:r>
          </w:p>
        </w:tc>
        <w:tc>
          <w:tcPr>
            <w:tcW w:type="dxa" w:w="432"/>
          </w:tcPr>
          <w:p>
            <w:r>
              <w:t>The claim must remain qualified until the evaluator confirms whether the gap is material to the intended purpose or benefit-risk conclusion.</w:t>
            </w:r>
          </w:p>
        </w:tc>
        <w:tc>
          <w:tcPr>
            <w:tcW w:type="dxa" w:w="432"/>
          </w:tcPr>
          <w:p>
            <w:r>
              <w:t>human_evaluator_triage_required</w:t>
            </w:r>
          </w:p>
        </w:tc>
        <w:tc>
          <w:tcPr>
            <w:tcW w:type="dxa" w:w="432"/>
          </w:tcPr>
          <w:p>
            <w:r>
              <w:t>requires_documented_limitation</w:t>
            </w:r>
          </w:p>
        </w:tc>
        <w:tc>
          <w:tcPr>
            <w:tcW w:type="dxa" w:w="432"/>
          </w:tcPr>
          <w:p>
            <w:r>
              <w:t>yes_for_signature_upgrade</w:t>
            </w:r>
          </w:p>
        </w:tc>
        <w:tc>
          <w:tcPr>
            <w:tcW w:type="dxa" w:w="432"/>
          </w:tcPr>
          <w:p>
            <w:r>
              <w:t>Provide equivalence and evaluator rationale before upgrading conclusions.</w:t>
            </w:r>
          </w:p>
        </w:tc>
        <w:tc>
          <w:tcPr>
            <w:tcW w:type="dxa" w:w="432"/>
          </w:tcPr>
          <w:p>
            <w:r>
              <w:t>Gap GAP-INPUT-EQUIVALENCE assessed against evidence IDs [E-001, E-002, E-003, E-004, E-005, E-006], risk IDs [R-001, R-002, R-003, R-004], source IDs [SRC-001, SRC-002, SRC-003, SRC-004, SRC-005, SRC-006].</w:t>
            </w:r>
          </w:p>
        </w:tc>
        <w:tc>
          <w:tcPr>
            <w:tcW w:type="dxa" w:w="432"/>
          </w:tcPr>
          <w:p>
            <w:r>
              <w:t>gap_pmcf_recommendations; evidence_registry; endpoint_extraction; risk_trace_matrix; source_inventory</w:t>
            </w:r>
          </w:p>
        </w:tc>
        <w:tc>
          <w:tcPr>
            <w:tcW w:type="dxa" w:w="432"/>
          </w:tcPr>
          <w:p>
            <w:r>
              <w:t>PMCF boundary is triaged across pre-submission resolution, PMCF permissibility and claim-downgrade control.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