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[1] Dead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by Catarina Crespo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[2] Long Parameter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by Catarina Crespo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[3] Long Method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by Catarina Crespo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