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o6eprgbk4hr" w:id="0"/>
      <w:bookmarkEnd w:id="0"/>
      <w:r w:rsidDel="00000000" w:rsidR="00000000" w:rsidRPr="00000000">
        <w:rPr>
          <w:rtl w:val="0"/>
        </w:rPr>
        <w:t xml:space="preserve">Martin Packaging metrics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oy9ojetx6yn" w:id="1"/>
      <w:bookmarkEnd w:id="1"/>
      <w:r w:rsidDel="00000000" w:rsidR="00000000" w:rsidRPr="00000000">
        <w:rPr>
          <w:rtl w:val="0"/>
        </w:rPr>
        <w:t xml:space="preserve">Glossário: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73737"/>
          <w:sz w:val="21"/>
          <w:szCs w:val="21"/>
          <w:rtl w:val="0"/>
        </w:rPr>
        <w:t xml:space="preserve">Efferent Coupling (Ce) - é o número de classes em um determinado pacote, que depende das classes em outros pacotes.</w:t>
      </w:r>
    </w:p>
    <w:p w:rsidR="00000000" w:rsidDel="00000000" w:rsidP="00000000" w:rsidRDefault="00000000" w:rsidRPr="00000000" w14:paraId="00000004">
      <w:pPr>
        <w:ind w:left="0" w:firstLine="0"/>
        <w:rPr>
          <w:color w:val="3737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before="160" w:line="384.00000000000006" w:lineRule="auto"/>
        <w:ind w:left="720" w:hanging="360"/>
        <w:rPr>
          <w:color w:val="373737"/>
          <w:sz w:val="21"/>
          <w:szCs w:val="21"/>
        </w:rPr>
      </w:pPr>
      <w:r w:rsidDel="00000000" w:rsidR="00000000" w:rsidRPr="00000000">
        <w:rPr>
          <w:color w:val="373737"/>
          <w:sz w:val="21"/>
          <w:szCs w:val="21"/>
          <w:rtl w:val="0"/>
        </w:rPr>
        <w:t xml:space="preserve">Afferent Coupling (Ca) - é uma adição à métrica Ce e é usada para medir outro tipo de dependência entre pacotes, ou seja, dependências de entrada. Isso nos permite medir a sensibilidade dos pacotes restantes às mudanças no pacote analisado.</w:t>
      </w:r>
    </w:p>
    <w:p w:rsidR="00000000" w:rsidDel="00000000" w:rsidP="00000000" w:rsidRDefault="00000000" w:rsidRPr="00000000" w14:paraId="00000006">
      <w:pPr>
        <w:spacing w:after="160" w:before="160" w:line="384.00000000000006" w:lineRule="auto"/>
        <w:ind w:left="720" w:firstLine="0"/>
        <w:rPr>
          <w:color w:val="3737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160" w:line="384.00000000000006" w:lineRule="auto"/>
        <w:ind w:left="720" w:hanging="360"/>
        <w:rPr>
          <w:color w:val="373737"/>
          <w:sz w:val="21"/>
          <w:szCs w:val="21"/>
        </w:rPr>
      </w:pPr>
      <w:r w:rsidDel="00000000" w:rsidR="00000000" w:rsidRPr="00000000">
        <w:rPr>
          <w:color w:val="373737"/>
          <w:sz w:val="21"/>
          <w:szCs w:val="21"/>
          <w:rtl w:val="0"/>
        </w:rPr>
        <w:t xml:space="preserve">Instability (I) - é usada para medir a suscetibilidade relativa da classe a mudanças. De acordo com a definição de instabilidade, é a proporção de Ce para todas as dependências de pacotes.</w:t>
      </w:r>
    </w:p>
    <w:p w:rsidR="00000000" w:rsidDel="00000000" w:rsidP="00000000" w:rsidRDefault="00000000" w:rsidRPr="00000000" w14:paraId="00000008">
      <w:pPr>
        <w:spacing w:after="160" w:before="160" w:line="384.00000000000006" w:lineRule="auto"/>
        <w:ind w:left="720" w:firstLine="0"/>
        <w:rPr>
          <w:color w:val="3737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before="160" w:line="384.00000000000006" w:lineRule="auto"/>
        <w:ind w:left="720" w:hanging="360"/>
        <w:rPr>
          <w:color w:val="373737"/>
          <w:sz w:val="21"/>
          <w:szCs w:val="21"/>
        </w:rPr>
      </w:pPr>
      <w:r w:rsidDel="00000000" w:rsidR="00000000" w:rsidRPr="00000000">
        <w:rPr>
          <w:color w:val="373737"/>
          <w:sz w:val="21"/>
          <w:szCs w:val="21"/>
          <w:rtl w:val="0"/>
        </w:rPr>
        <w:t xml:space="preserve">Abstractness (A) -  é usada para medir o grau de abstração do pacote e é um pouco semelhante à instabilidade. Em relação à definição, a abstração é o número de classes abstratas no pacote para o número de todas as classes.</w:t>
      </w:r>
    </w:p>
    <w:p w:rsidR="00000000" w:rsidDel="00000000" w:rsidP="00000000" w:rsidRDefault="00000000" w:rsidRPr="00000000" w14:paraId="0000000A">
      <w:pPr>
        <w:spacing w:after="160" w:before="160" w:line="384.00000000000006" w:lineRule="auto"/>
        <w:ind w:left="720" w:firstLine="0"/>
        <w:rPr>
          <w:color w:val="3737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before="160" w:line="384.00000000000006" w:lineRule="auto"/>
        <w:ind w:left="720" w:hanging="360"/>
        <w:rPr>
          <w:color w:val="373737"/>
          <w:sz w:val="21"/>
          <w:szCs w:val="21"/>
        </w:rPr>
      </w:pPr>
      <w:r w:rsidDel="00000000" w:rsidR="00000000" w:rsidRPr="00000000">
        <w:rPr>
          <w:color w:val="373737"/>
          <w:sz w:val="21"/>
          <w:szCs w:val="21"/>
          <w:rtl w:val="0"/>
        </w:rPr>
        <w:t xml:space="preserve">Normalized Distance from Main Sequence (D) - é usada para medir o equilíbrio entre I e A referidos acima..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w5z6yfo5lqlg" w:id="2"/>
      <w:bookmarkEnd w:id="2"/>
      <w:r w:rsidDel="00000000" w:rsidR="00000000" w:rsidRPr="00000000">
        <w:rPr>
          <w:rtl w:val="0"/>
        </w:rPr>
        <w:t xml:space="preserve">Análise: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f7aptp5eqo8t" w:id="3"/>
      <w:bookmarkEnd w:id="3"/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Top 3 </w:t>
      </w:r>
      <w:r w:rsidDel="00000000" w:rsidR="00000000" w:rsidRPr="00000000">
        <w:rPr>
          <w:color w:val="373737"/>
          <w:sz w:val="21"/>
          <w:szCs w:val="21"/>
          <w:rtl w:val="0"/>
        </w:rPr>
        <w:t xml:space="preserve">Abstractness (A)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1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675"/>
        <w:gridCol w:w="825"/>
        <w:gridCol w:w="765"/>
        <w:gridCol w:w="705"/>
        <w:gridCol w:w="750"/>
        <w:tblGridChange w:id="0">
          <w:tblGrid>
            <w:gridCol w:w="4935"/>
            <w:gridCol w:w="675"/>
            <w:gridCol w:w="825"/>
            <w:gridCol w:w="765"/>
            <w:gridCol w:w="705"/>
            <w:gridCol w:w="750"/>
          </w:tblGrid>
        </w:tblGridChange>
      </w:tblGrid>
      <w:tr>
        <w:trPr>
          <w:cantSplit w:val="0"/>
          <w:trHeight w:val="41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net.sourceforge.ganttproject.gui.options.model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biz.ganttproject.core.chart.scene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net.sourceforge.ganttproject.gui.scrolling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Top 3 </w:t>
      </w:r>
      <w:r w:rsidDel="00000000" w:rsidR="00000000" w:rsidRPr="00000000">
        <w:rPr>
          <w:color w:val="373737"/>
          <w:sz w:val="21"/>
          <w:szCs w:val="21"/>
          <w:rtl w:val="0"/>
        </w:rPr>
        <w:t xml:space="preserve">Afferent Coupling (Ca)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2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675"/>
        <w:gridCol w:w="825"/>
        <w:gridCol w:w="765"/>
        <w:gridCol w:w="705"/>
        <w:gridCol w:w="750"/>
        <w:tblGridChange w:id="0">
          <w:tblGrid>
            <w:gridCol w:w="4935"/>
            <w:gridCol w:w="675"/>
            <w:gridCol w:w="825"/>
            <w:gridCol w:w="765"/>
            <w:gridCol w:w="705"/>
            <w:gridCol w:w="750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biz.ganttproject.core.option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Top 3 </w:t>
      </w:r>
      <w:r w:rsidDel="00000000" w:rsidR="00000000" w:rsidRPr="00000000">
        <w:rPr>
          <w:color w:val="373737"/>
          <w:sz w:val="21"/>
          <w:szCs w:val="21"/>
          <w:rtl w:val="0"/>
        </w:rPr>
        <w:t xml:space="preserve">Efferent Coupling (Ce)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3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675"/>
        <w:gridCol w:w="825"/>
        <w:gridCol w:w="765"/>
        <w:gridCol w:w="705"/>
        <w:gridCol w:w="750"/>
        <w:tblGridChange w:id="0">
          <w:tblGrid>
            <w:gridCol w:w="4935"/>
            <w:gridCol w:w="675"/>
            <w:gridCol w:w="825"/>
            <w:gridCol w:w="765"/>
            <w:gridCol w:w="705"/>
            <w:gridCol w:w="750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net.sourceforge.ganttproject.chart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net.sourceforge.ganttproject.task.algorithm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Top 3 </w:t>
      </w:r>
      <w:r w:rsidDel="00000000" w:rsidR="00000000" w:rsidRPr="00000000">
        <w:rPr>
          <w:color w:val="373737"/>
          <w:sz w:val="21"/>
          <w:szCs w:val="21"/>
          <w:rtl w:val="0"/>
        </w:rPr>
        <w:t xml:space="preserve">Normalized Distance from Main Sequence (D)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4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675"/>
        <w:gridCol w:w="825"/>
        <w:gridCol w:w="765"/>
        <w:gridCol w:w="705"/>
        <w:gridCol w:w="750"/>
        <w:tblGridChange w:id="0">
          <w:tblGrid>
            <w:gridCol w:w="4935"/>
            <w:gridCol w:w="675"/>
            <w:gridCol w:w="825"/>
            <w:gridCol w:w="765"/>
            <w:gridCol w:w="705"/>
            <w:gridCol w:w="750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net.sourceforge.ganttproject.shape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net.sourceforge.ganttproject.font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Top 3 </w:t>
      </w:r>
      <w:r w:rsidDel="00000000" w:rsidR="00000000" w:rsidRPr="00000000">
        <w:rPr>
          <w:color w:val="373737"/>
          <w:sz w:val="21"/>
          <w:szCs w:val="21"/>
          <w:rtl w:val="0"/>
        </w:rPr>
        <w:t xml:space="preserve">Instability (I)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5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675"/>
        <w:gridCol w:w="825"/>
        <w:gridCol w:w="765"/>
        <w:gridCol w:w="705"/>
        <w:gridCol w:w="750"/>
        <w:tblGridChange w:id="0">
          <w:tblGrid>
            <w:gridCol w:w="4935"/>
            <w:gridCol w:w="675"/>
            <w:gridCol w:w="825"/>
            <w:gridCol w:w="765"/>
            <w:gridCol w:w="705"/>
            <w:gridCol w:w="750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net.sourceforge.ganttproject.test.task.hierarchy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net.sourceforge.ganttproject.test.task.dependency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pyqn1hqhskh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t9t04za6bah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2xso4f8cfg4u" w:id="6"/>
      <w:bookmarkEnd w:id="6"/>
      <w:r w:rsidDel="00000000" w:rsidR="00000000" w:rsidRPr="00000000">
        <w:rPr>
          <w:rtl w:val="0"/>
        </w:rPr>
        <w:t xml:space="preserve">Comentários: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Pelas tabelas, nós podemos ver muitos problemas com o programa: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 alto valor da métrica Ce&gt;20 indica instabilidade de um pacote, a alteração em qualquer uma das inúmeras classes externas pode ocasionar a necessidade de alterações no pacote. Os valores preferenciais para a métrica Ce estão na faixa de 0 a 20, valores mais altos causam problemas com cuidado e desenvolvimento do código. E como se constata nos valores da tabela, a média da métrica Ce é de 239.05, muito superior ao esperado, indicando instabilidade.</w:t>
      </w:r>
    </w:p>
    <w:p w:rsidR="00000000" w:rsidDel="00000000" w:rsidP="00000000" w:rsidRDefault="00000000" w:rsidRPr="00000000" w14:paraId="0000009A">
      <w:pPr>
        <w:spacing w:after="220" w:before="220" w:line="408" w:lineRule="auto"/>
        <w:rPr/>
      </w:pPr>
      <w:r w:rsidDel="00000000" w:rsidR="00000000" w:rsidRPr="00000000">
        <w:rPr>
          <w:rtl w:val="0"/>
        </w:rPr>
        <w:t xml:space="preserve">-Altos valores de Ca geralmente sugerem alta estabilidade do componente. Isso se deve ao fato de que a classe depende de muitas outras classes. Portanto, não pode ser modificado significativamente porque, neste caso, aumenta a probabilidade de propagação de tais alterações.Os valores preferidos para a métrica Ca estão na faixa de 0 a 500. O pacote net.sourceforge.ganttproject.task mostra-se muito instável (com Ca igual 4412).</w:t>
      </w:r>
    </w:p>
    <w:p w:rsidR="00000000" w:rsidDel="00000000" w:rsidP="00000000" w:rsidRDefault="00000000" w:rsidRPr="00000000" w14:paraId="0000009B">
      <w:pPr>
        <w:spacing w:after="220" w:before="220" w:line="408" w:lineRule="auto"/>
        <w:rPr/>
      </w:pPr>
      <w:r w:rsidDel="00000000" w:rsidR="00000000" w:rsidRPr="00000000">
        <w:rPr>
          <w:rtl w:val="0"/>
        </w:rPr>
        <w:t xml:space="preserve">-Os valores preferenciais para a métrica I devem estar dentro dos intervalos de 0 a 0,3 ou 0,7 a 1. Os pacotes devem ser muito estáveis ​​ou instáveis, portanto devemos evitar pacotes de estabilidade intermediária, mas há muitas no programa.</w:t>
      </w:r>
    </w:p>
    <w:p w:rsidR="00000000" w:rsidDel="00000000" w:rsidP="00000000" w:rsidRDefault="00000000" w:rsidRPr="00000000" w14:paraId="0000009C">
      <w:pPr>
        <w:spacing w:after="220" w:before="220" w:line="408" w:lineRule="auto"/>
        <w:rPr/>
      </w:pPr>
      <w:r w:rsidDel="00000000" w:rsidR="00000000" w:rsidRPr="00000000">
        <w:rPr>
          <w:rtl w:val="0"/>
        </w:rPr>
        <w:t xml:space="preserve">-Os valores preferenciais para a métrica A devem assumir valores extremos próximos de 0 ou 1. Os pacotes que são estáveis ​​(métrica I próxima de 0), o que significa que dependem em um nível muito baixo de outros pacotes, também devem ser abstratos (o fechamento da métrica A é 1). Por sua vez, os pacotes muito instáveis ​​(métrica I próxima de 1) devem ser constituídos por classes concretas (métrica A próxima de 0).</w:t>
      </w:r>
    </w:p>
    <w:p w:rsidR="00000000" w:rsidDel="00000000" w:rsidP="00000000" w:rsidRDefault="00000000" w:rsidRPr="00000000" w14:paraId="0000009D">
      <w:pPr>
        <w:spacing w:after="220" w:before="220" w:line="408" w:lineRule="auto"/>
        <w:rPr/>
      </w:pPr>
      <w:r w:rsidDel="00000000" w:rsidR="00000000" w:rsidRPr="00000000">
        <w:rPr>
          <w:rtl w:val="0"/>
        </w:rPr>
        <w:t xml:space="preserve">-O valor da métrica D deveria ser o mais baixo possível para que os componentes estivessem localizados próximos à sequência principal.</w:t>
      </w:r>
    </w:p>
    <w:p w:rsidR="00000000" w:rsidDel="00000000" w:rsidP="00000000" w:rsidRDefault="00000000" w:rsidRPr="00000000" w14:paraId="0000009E">
      <w:pPr>
        <w:rPr>
          <w:color w:val="3737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45h45meyk14o" w:id="7"/>
      <w:bookmarkEnd w:id="7"/>
      <w:r w:rsidDel="00000000" w:rsidR="00000000" w:rsidRPr="00000000">
        <w:rPr>
          <w:rtl w:val="0"/>
        </w:rPr>
        <w:t xml:space="preserve">Representações Gráficas: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