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40" w:lineRule="auto"/>
        <w:jc w:val="center"/>
      </w:pPr>
      <w:r>
        <w:rPr>
          <w:b/>
          <w:i w:val="0"/>
          <w:sz w:val="24"/>
        </w:rPr>
        <w:t>UNIVERZITET — [naziv univerziteta]</w:t>
      </w:r>
    </w:p>
    <w:p>
      <w:pPr>
        <w:spacing w:before="0" w:after="120" w:line="240" w:lineRule="auto"/>
        <w:jc w:val="center"/>
      </w:pPr>
      <w:r>
        <w:rPr>
          <w:b w:val="0"/>
          <w:i w:val="0"/>
          <w:sz w:val="24"/>
        </w:rPr>
        <w:t>[naziv fakulteta]</w:t>
      </w:r>
    </w:p>
    <w:p>
      <w:pPr>
        <w:spacing w:before="0" w:after="960" w:line="240" w:lineRule="auto"/>
        <w:jc w:val="center"/>
      </w:pPr>
      <w:r>
        <w:rPr>
          <w:b w:val="0"/>
          <w:i w:val="0"/>
          <w:sz w:val="22"/>
        </w:rPr>
        <w:t>[katedra / smer]</w:t>
      </w:r>
    </w:p>
    <w:p>
      <w:pPr>
        <w:spacing w:before="0" w:after="480" w:line="240" w:lineRule="auto"/>
        <w:jc w:val="center"/>
      </w:pPr>
      <w:r>
        <w:rPr>
          <w:b/>
          <w:i w:val="0"/>
          <w:sz w:val="26"/>
        </w:rPr>
        <w:t>MASTER RAD</w:t>
      </w:r>
    </w:p>
    <w:p>
      <w:pPr>
        <w:spacing w:before="240" w:after="40" w:line="240" w:lineRule="auto"/>
        <w:jc w:val="center"/>
      </w:pPr>
      <w:r>
        <w:rPr>
          <w:b/>
          <w:i w:val="0"/>
          <w:sz w:val="36"/>
        </w:rPr>
        <w:t>Analiza implementacije enkriptovanog MQTT protokola (MQTTS)</w:t>
      </w:r>
    </w:p>
    <w:p>
      <w:pPr>
        <w:spacing w:before="0" w:after="800" w:line="240" w:lineRule="auto"/>
        <w:jc w:val="center"/>
      </w:pPr>
      <w:r>
        <w:rPr>
          <w:b/>
          <w:i w:val="0"/>
          <w:sz w:val="36"/>
        </w:rPr>
        <w:t>u Smart Home sistemu</w:t>
      </w:r>
    </w:p>
    <w:p>
      <w:pPr>
        <w:spacing w:before="0" w:after="960" w:line="240" w:lineRule="auto"/>
        <w:jc w:val="center"/>
      </w:pPr>
      <w:r>
        <w:rPr>
          <w:b w:val="0"/>
          <w:i/>
          <w:sz w:val="22"/>
        </w:rPr>
        <w:t>Eksperimentalno merenje troška TLS sloja na ESP32 čvorovima — memorija, vreme handshake-a, mrežni overhead, odziv i CPU</w:t>
      </w:r>
    </w:p>
    <w:tbl>
      <w:tblPr>
        <w:tblW w:type="auto" w:w="0"/>
        <w:jc w:val="center"/>
        <w:tblLook w:firstColumn="1" w:firstRow="1" w:lastColumn="0" w:lastRow="0" w:noHBand="0" w:noVBand="1" w:val="04A0"/>
      </w:tblPr>
      <w:tblGrid>
        <w:gridCol w:w="4394"/>
        <w:gridCol w:w="4394"/>
      </w:tblGrid>
      <w:tr>
        <w:tc>
          <w:tcPr>
            <w:tcW w:type="dxa" w:w="4394"/>
          </w:tcPr>
          <w:p>
            <w:pPr>
              <w:jc w:val="center"/>
            </w:pPr>
            <w:r>
              <w:rPr>
                <w:b/>
                <w:sz w:val="22"/>
              </w:rPr>
              <w:t>Kandidat:</w:t>
            </w:r>
          </w:p>
        </w:tc>
        <w:tc>
          <w:tcPr>
            <w:tcW w:type="dxa" w:w="4394"/>
          </w:tcPr>
          <w:p>
            <w:pPr>
              <w:jc w:val="center"/>
            </w:pPr>
            <w:r>
              <w:rPr>
                <w:b w:val="0"/>
                <w:sz w:val="22"/>
              </w:rPr>
              <w:t>Ognjen Grgur</w:t>
            </w:r>
          </w:p>
        </w:tc>
      </w:tr>
      <w:tr>
        <w:tc>
          <w:tcPr>
            <w:tcW w:type="dxa" w:w="4394"/>
          </w:tcPr>
          <w:p>
            <w:pPr>
              <w:jc w:val="center"/>
            </w:pPr>
            <w:r>
              <w:rPr>
                <w:b/>
                <w:sz w:val="22"/>
              </w:rPr>
              <w:t>Mentor:</w:t>
            </w:r>
          </w:p>
        </w:tc>
        <w:tc>
          <w:tcPr>
            <w:tcW w:type="dxa" w:w="4394"/>
          </w:tcPr>
          <w:p>
            <w:pPr>
              <w:jc w:val="center"/>
            </w:pPr>
            <w:r>
              <w:rPr>
                <w:b w:val="0"/>
                <w:sz w:val="22"/>
              </w:rPr>
              <w:t>[ime i prezime mentora]</w:t>
            </w:r>
          </w:p>
        </w:tc>
      </w:tr>
    </w:tbl>
    <w:p>
      <w:pPr>
        <w:spacing w:before="0" w:after="720" w:line="240" w:lineRule="auto"/>
        <w:jc w:val="center"/>
      </w:pPr>
      <w:r>
        <w:rPr>
          <w:b w:val="0"/>
          <w:i w:val="0"/>
          <w:sz w:val="22"/>
        </w:rPr>
      </w:r>
    </w:p>
    <w:p>
      <w:pPr>
        <w:spacing w:before="0" w:after="120" w:line="240" w:lineRule="auto"/>
        <w:jc w:val="center"/>
      </w:pPr>
      <w:r>
        <w:rPr>
          <w:b w:val="0"/>
          <w:i w:val="0"/>
          <w:sz w:val="22"/>
        </w:rPr>
        <w:t>[grad], 2026.</w:t>
      </w:r>
    </w:p>
    <w:p>
      <w:r>
        <w:br w:type="page"/>
      </w:r>
    </w:p>
    <w:p>
      <w:pPr>
        <w:pStyle w:val="Heading1"/>
        <w:keepNext/>
      </w:pPr>
      <w:r>
        <w:t>Sadržaj</w:t>
      </w:r>
    </w:p>
    <w:p>
      <w:r>
        <w:fldChar w:fldCharType="begin"/>
        <w:instrText xml:space="preserve">TOC \o "1-3" \h \z \u</w:instrText>
        <w:fldChar w:fldCharType="separate"/>
        <w:t>Sadržaj — desni klik → Update Field (F9) za ažuriranje.</w:t>
        <w:fldChar w:fldCharType="end"/>
      </w:r>
    </w:p>
    <w:p>
      <w:r>
        <w:br w:type="page"/>
      </w:r>
    </w:p>
    <w:p>
      <w:pPr>
        <w:pStyle w:val="Heading1"/>
        <w:keepNext/>
      </w:pPr>
      <w:r>
        <w:t>Sažetak</w:t>
      </w:r>
    </w:p>
    <w:p>
      <w:r>
        <w:t xml:space="preserve">Savremeni sistemi pametne kuće (engl. </w:t>
      </w:r>
      <w:r>
        <w:rPr>
          <w:i/>
        </w:rPr>
        <w:t>Smart Home</w:t>
      </w:r>
      <w:r>
        <w:t xml:space="preserve">) sve se više oslanjaju na lagani protokol za razmenu poruka </w:t>
      </w:r>
      <w:r>
        <w:rPr>
          <w:b/>
        </w:rPr>
        <w:t>Message Queuing Telemetry Transport (MQTT)</w:t>
      </w:r>
      <w:r>
        <w:t xml:space="preserve">, koji u svojoj osnovnoj varijanti prenosi podatke u čistom tekstu i time izlaže korisničke kredencijale, komande i telemetriju svakome ko je u stanju da prisluškuje mrežni saobraćaj. Ovaj rad analizira trošak koji uvođenje sloja bezbednosti transporta — </w:t>
      </w:r>
      <w:r>
        <w:rPr>
          <w:b/>
        </w:rPr>
        <w:t>Transport Layer Security (TLS)</w:t>
      </w:r>
      <w:r>
        <w:t xml:space="preserve"> — unosi u MQTT komunikaciju (MQTTS) na resursno ograničenim ESP32 čvorovima. Cilj je da se utvrdi da li se bezbednost može postići bez narušavanja odziva sistema, odnosno da se proveri hipoteza po kojoj degradacija performansi, uprkos merljivim opterećenjima, ostaje unutar prihvatljivih granica (odziv ispod 200 ms) uz drastičan porast bezbednosti.</w:t>
      </w:r>
    </w:p>
    <w:p>
      <w:r>
        <w:t xml:space="preserve">Merenja su sprovedena na živom hardveru, upoređivanjem dva ravnopravna čvora: referentnog čvora sa običnim MQTT-om (port 1883) i predmetnog čvora sa MQTTS-om (port 8883). Trošak TLS-a izdvojen je unakrsnim oduzimanjem rezultata dvaju čvorova duž pet mernih dimenzija: potrošnje radne memorije, vremena povezivanja i TLS </w:t>
      </w:r>
      <w:r>
        <w:rPr>
          <w:i/>
        </w:rPr>
        <w:t>handshake</w:t>
      </w:r>
      <w:r>
        <w:t>-a, veličine paketa na žici, end-to-end vremena odziva na komandu i opterećenja procesora. Statistička osnova obuhvata 30 boot-ciklusa po čvoru, 100 merenja po kanalu za vreme odziva i analizu mrežnog snimka od 126 paketa.</w:t>
      </w:r>
    </w:p>
    <w:p>
      <w:r>
        <w:t xml:space="preserve">Rezultati pokazuju da TLS unosi merljiv, ali ograničen trošak: zadržana radna memorija raste za približno </w:t>
      </w:r>
      <w:r>
        <w:rPr>
          <w:i/>
        </w:rPr>
        <w:t>33,3 KB</w:t>
      </w:r>
      <w:r>
        <w:t xml:space="preserve">, jednokratni </w:t>
      </w:r>
      <w:r>
        <w:rPr>
          <w:i/>
        </w:rPr>
        <w:t>handshake</w:t>
      </w:r>
      <w:r>
        <w:t xml:space="preserve"> dodaje oko </w:t>
      </w:r>
      <w:r>
        <w:rPr>
          <w:i/>
        </w:rPr>
        <w:t>0,53 s</w:t>
      </w:r>
      <w:r>
        <w:t xml:space="preserve"> po povezivanju, svaka poruka je veća za </w:t>
      </w:r>
      <w:r>
        <w:rPr>
          <w:i/>
        </w:rPr>
        <w:t>29 bajtova</w:t>
      </w:r>
      <w:r>
        <w:t xml:space="preserve">, a opterećenje procesora prolazno raste za oko </w:t>
      </w:r>
      <w:r>
        <w:rPr>
          <w:i/>
        </w:rPr>
        <w:t>6%</w:t>
      </w:r>
      <w:r>
        <w:t xml:space="preserve"> tokom </w:t>
      </w:r>
      <w:r>
        <w:rPr>
          <w:i/>
        </w:rPr>
        <w:t>handshake</w:t>
      </w:r>
      <w:r>
        <w:t xml:space="preserve">-a. Uprkos tome, end-to-end vreme odziva po komandi ostaje ispod 200 ms — 95. percentil iznosi </w:t>
      </w:r>
      <w:r>
        <w:rPr>
          <w:i/>
        </w:rPr>
        <w:t>190 ms</w:t>
      </w:r>
      <w:r>
        <w:t xml:space="preserve"> naspram 182 ms kod običnog MQTT-a, uz razliku aritmetičke sredine od svega 1,2 ms. Bezbednosna analiza potvrđuje da su na običnom kanalu kredencijali i podaci vidljivi golim okom, dok su na MQTTS kanalu potpuno nečitljivi (AES-256-GCM). Zaključuje se da je hipoteza potvrđena: postoje dva različita troška — jednokratni </w:t>
      </w:r>
      <w:r>
        <w:rPr>
          <w:i/>
        </w:rPr>
        <w:t>handshake</w:t>
      </w:r>
      <w:r>
        <w:t xml:space="preserve"> pri povezivanju i zanemarljiv trošak po komandi u ustaljenom stanju — pri čemu se granica od 200 ms odnosi na ovaj drugi, te je TLS u ustaljenom radu jeftin, a dobitak u bezbednosti dramatičan.</w:t>
      </w:r>
    </w:p>
    <w:p>
      <w:r>
        <w:rPr>
          <w:b/>
        </w:rPr>
        <w:t>Ključne reči:</w:t>
      </w:r>
      <w:r>
        <w:t xml:space="preserve"> MQTT, MQTTS, TLS, ESP32, pametna kuća, bezbednost, mbedTLS, Home Assistant.</w:t>
      </w:r>
    </w:p>
    <w:p>
      <w:r>
        <w:br w:type="page"/>
      </w:r>
    </w:p>
    <w:p>
      <w:pPr>
        <w:pStyle w:val="Heading1"/>
        <w:keepNext/>
      </w:pPr>
      <w:r>
        <w:t>Abstract</w:t>
      </w:r>
    </w:p>
    <w:p>
      <w:r>
        <w:t xml:space="preserve">Modern Smart Home systems increasingly rely on the lightweight </w:t>
      </w:r>
      <w:r>
        <w:rPr>
          <w:b/>
        </w:rPr>
        <w:t>Message Queuing Telemetry Transport (MQTT)</w:t>
      </w:r>
      <w:r>
        <w:t xml:space="preserve"> protocol, which in its basic form transmits data in clear text and thereby exposes user credentials, commands and telemetry to anyone able to intercept the network traffic. This thesis analyses the cost that adding </w:t>
      </w:r>
      <w:r>
        <w:rPr>
          <w:b/>
        </w:rPr>
        <w:t>Transport Layer Security (TLS)</w:t>
      </w:r>
      <w:r>
        <w:t xml:space="preserve"> introduces into MQTT communication (MQTTS) on resource-constrained ESP32 nodes. The aim is to determine whether security can be attained without degrading system responsiveness, that is, to test the hypothesis that — despite measurable overheads — the performance degradation remains within acceptable limits (response below 200 ms) while security is drastically increased.</w:t>
      </w:r>
    </w:p>
    <w:p>
      <w:r>
        <w:t>The measurements were carried out on live hardware by comparing two equivalent nodes: a reference node running plain MQTT (port 1883) and the node under study running MQTTS (port 8883). The TLS cost was isolated through cross-subtraction of the two nodes' results along five measurement dimensions: working-memory consumption, connection and TLS handshake time, on-the-wire packet size, end-to-end command response time and processor load. The statistical basis comprises 30 boot cycles per node, 100 measurements per channel for response time, and analysis of a 126-packet network capture.</w:t>
      </w:r>
    </w:p>
    <w:p>
      <w:r>
        <w:t xml:space="preserve">The results show that TLS introduces a measurable but bounded cost: retained working memory increases by approximately </w:t>
      </w:r>
      <w:r>
        <w:rPr>
          <w:i/>
        </w:rPr>
        <w:t>33.3 KB</w:t>
      </w:r>
      <w:r>
        <w:t xml:space="preserve">, the one-time handshake adds about </w:t>
      </w:r>
      <w:r>
        <w:rPr>
          <w:i/>
        </w:rPr>
        <w:t>0.53 s</w:t>
      </w:r>
      <w:r>
        <w:t xml:space="preserve"> per connection, each message grows by </w:t>
      </w:r>
      <w:r>
        <w:rPr>
          <w:i/>
        </w:rPr>
        <w:t>29 bytes</w:t>
      </w:r>
      <w:r>
        <w:t xml:space="preserve">, and processor load rises transiently by roughly </w:t>
      </w:r>
      <w:r>
        <w:rPr>
          <w:i/>
        </w:rPr>
        <w:t>6%</w:t>
      </w:r>
      <w:r>
        <w:t xml:space="preserve"> during the handshake. Despite this, the end-to-end per-command response time remains below 200 ms — the 95th percentile is </w:t>
      </w:r>
      <w:r>
        <w:rPr>
          <w:i/>
        </w:rPr>
        <w:t>190 ms</w:t>
      </w:r>
      <w:r>
        <w:t xml:space="preserve"> versus 182 ms for plain MQTT, with a mean difference of only 1.2 ms. The security analysis confirms that on the plain channel credentials and data are visible in plain sight, whereas on the MQTTS channel they are entirely unreadable (AES-256-GCM). It is concluded that the hypothesis is confirmed: two distinct costs exist — a one-time handshake at connection and a negligible per-command cost in the steady state — with the 200 ms bound applying to the latter; hence TLS is inexpensive in steady-state operation, while the gain in security is dramatic.</w:t>
      </w:r>
    </w:p>
    <w:p>
      <w:r>
        <w:rPr>
          <w:b/>
        </w:rPr>
        <w:t>Keywords:</w:t>
      </w:r>
      <w:r>
        <w:t xml:space="preserve"> MQTT, MQTTS, TLS, ESP32, Smart Home, security, mbedTLS, Home Assistant.</w:t>
      </w:r>
    </w:p>
    <w:p>
      <w:r>
        <w:br w:type="page"/>
      </w:r>
    </w:p>
    <w:p>
      <w:pPr>
        <w:pStyle w:val="Heading1"/>
        <w:keepNext/>
      </w:pPr>
      <w:r>
        <w:t>Uvod</w:t>
      </w:r>
    </w:p>
    <w:p>
      <w:pPr>
        <w:pStyle w:val="Heading2"/>
        <w:keepNext/>
      </w:pPr>
      <w:r>
        <w:t>Motivacija i kontekst</w:t>
      </w:r>
    </w:p>
    <w:p>
      <w:r>
        <w:t>Poslednja decenija donela je ubrzan rast Interneta stvari (Internet of Things, IoT), a domen pametnog doma (Smart Home) postao je jedan od njegovih najvidljivijih izraza. Umesto pojedinačnih, izolovanih aparata, savremeno domaćinstvo sve češće čini mreža međusobno povezanih senzora, releja, termostata i rasvetnih tela koja razmenjuju poruke i deluju usklađeno. Zajednička odlika takvih čvorova jeste rad na jeftinim mikrokontrolerima sa strogo ograničenim resursima — nekoliko stotina kilobajta radne memorije, jedno ili dva procesorska jezgra i skromna potrošnja energije. Upravo ta ograničenja oblikuju izbor komunikacionih protokola i nameću pažljivo vaganje svakog dodatnog opterećenja.</w:t>
      </w:r>
    </w:p>
    <w:p>
      <w:r>
        <w:t xml:space="preserve">U tom okruženju protokol </w:t>
      </w:r>
      <w:r>
        <w:rPr>
          <w:i/>
        </w:rPr>
        <w:t>Message Queuing Telemetry Transport</w:t>
      </w:r>
      <w:r>
        <w:t xml:space="preserve"> (MQTT) izrastao je u de facto standard za razmenu poruka. Reč je o laganom protokolu zasnovanom na obrascu objavi–pretplati (engl. </w:t>
      </w:r>
      <w:r>
        <w:rPr>
          <w:i/>
        </w:rPr>
        <w:t>publish/subscribe</w:t>
      </w:r>
      <w:r>
        <w:t>), u kojem centralni posrednik — broker — prima objave i prosleđuje ih pretplatnicima. Mali obim zaglavlja, tolerancija na nepouzdane mreže i skromni zahtevi prema klijentu čine MQTT posebno pogodnim za uređaje ograničenih resursa. Platforme za automatizaciju doma oslanjaju se na njega kao na okosnicu integracije; u sistemu koji je predmet ovog rada, na primer, entiteti se sami pojavljuju u okruženju Home Assistant preko mehanizma MQTT Discovery, bez ručne konfiguracije.</w:t>
      </w:r>
    </w:p>
    <w:p>
      <w:r>
        <w:t xml:space="preserve">Ta praktičnost, međutim, prati podrazumevana ranjivost. U svom osnovnom obliku MQTT radi preko običnog TCP prenosa na portu </w:t>
      </w:r>
      <w:r>
        <w:rPr>
          <w:rFonts w:ascii="Consolas" w:hAnsi="Consolas"/>
          <w:sz w:val="21"/>
        </w:rPr>
        <w:t>1883</w:t>
      </w:r>
      <w:r>
        <w:t>, bez ikakve enkripcije. Posledica je da sav saobraćaj — nazivi topika, korisni sadržaj poruka i, što je najozbiljnije, pristupni podaci klijenta — putuje mrežom u čistom tekstu. Napadaču koji ima pristup lokalnom segmentu mreže dovoljno je pasivno prisluškivanje da bi rekonstruisao celokupnu komunikaciju. Ta pretnja u radu nije ostavljena na nivou tvrdnje: analizom snimljenog saobraćaja pokazuje se da se na nezaštićenom kanalu golim okom, u alatu za rekonstrukciju toka, vide topici, korisni sadržaji i MQTT kredencijali, uključujući korisničko ime i lozinku u nešifrovanom obliku. Baš ta demonstrativna izloženost predstavlja motivaciju za uvođenje bezbednosnog sloja i za merenje njegove stvarne cene na uređaju.</w:t>
      </w:r>
    </w:p>
    <w:p>
      <w:pPr>
        <w:pStyle w:val="Heading2"/>
        <w:keepNext/>
      </w:pPr>
      <w:r>
        <w:t>Predmet i cilj rada</w:t>
      </w:r>
    </w:p>
    <w:p>
      <w:r>
        <w:t xml:space="preserve">Predmet ovog rada jeste analiza implementacije enkriptovanog MQTT protokola (MQTTS), odnosno MQTT-a koji se prenosi preko sloja </w:t>
      </w:r>
      <w:r>
        <w:rPr>
          <w:i/>
        </w:rPr>
        <w:t>Transport Layer Security</w:t>
      </w:r>
      <w:r>
        <w:t xml:space="preserve"> (TLS), u realnom Smart Home sistemu. Sistem je izgrađen od dva čvora zasnovana na mikrokontroleru ESP32 i jednog centralnog računara Raspberry Pi koji nosi broker i platformu za automatizaciju. Firmver čvorova napisan je u čistom jeziku C na okviru ESP-IDF verzije 5.5.0, a gradi se alatom PlatformIO; sva merenja izvedena su na jedinstvenoj verziji firmvera v3.0.0, čime se osigurava da su oba čvora poređena identičnim kodom.</w:t>
      </w:r>
    </w:p>
    <w:p>
      <w:r>
        <w:t xml:space="preserve">Cilj rada je dvojak. Prvi deo cilja je da se izmeri i kvantifikuje trošak koji TLS unosi u MQTT komunikaciju na uređaju ograničenih resursa — dodatno zauzeće radne memorije, produženo vreme povezivanja usled TLS rukovanja (engl. </w:t>
      </w:r>
      <w:r>
        <w:rPr>
          <w:i/>
        </w:rPr>
        <w:t>handshake</w:t>
      </w:r>
      <w:r>
        <w:t xml:space="preserve">), uvećanje mrežnih paketa i opterećenje procesora. Drugi, presudni deo cilja jeste da se pokaže kako uprkos tom trošku odziv sistema po komandi ostaje ispod praga od 200 ms, čime enkripcija ne narušava korisničko iskustvo. Metodološka osnova za takav zaključak je pošteno poređenje: čvor </w:t>
      </w:r>
      <w:r>
        <w:rPr>
          <w:rFonts w:ascii="Consolas" w:hAnsi="Consolas"/>
          <w:sz w:val="21"/>
        </w:rPr>
        <w:t>esp1_lights</w:t>
      </w:r>
      <w:r>
        <w:t xml:space="preserve"> komunicira nešifrovano na portu </w:t>
      </w:r>
      <w:r>
        <w:rPr>
          <w:rFonts w:ascii="Consolas" w:hAnsi="Consolas"/>
          <w:sz w:val="21"/>
        </w:rPr>
        <w:t>1883</w:t>
      </w:r>
      <w:r>
        <w:t xml:space="preserve"> i služi kao referentna tačka (baseline), dok čvor </w:t>
      </w:r>
      <w:r>
        <w:rPr>
          <w:rFonts w:ascii="Consolas" w:hAnsi="Consolas"/>
          <w:sz w:val="21"/>
        </w:rPr>
        <w:t>esp2_temperature</w:t>
      </w:r>
      <w:r>
        <w:t xml:space="preserve"> komunicira preko MQTTS-a na portu </w:t>
      </w:r>
      <w:r>
        <w:rPr>
          <w:rFonts w:ascii="Consolas" w:hAnsi="Consolas"/>
          <w:sz w:val="21"/>
        </w:rPr>
        <w:t>8883</w:t>
      </w:r>
      <w:r>
        <w:t xml:space="preserve"> i predstavlja glavni predmet analize. Budući da je jedina razlika između njih uključivanje TLS bloka, razlika u izmerenim vrednostima može se metodom unakrsnog oduzimanja pripisati isključivo TLS-u.</w:t>
      </w:r>
    </w:p>
    <w:p>
      <w:pPr>
        <w:pStyle w:val="Heading2"/>
        <w:keepNext/>
      </w:pPr>
      <w:r>
        <w:t>Hipoteza</w:t>
      </w:r>
    </w:p>
    <w:p>
      <w:r>
        <w:t>Iz postavljenog cilja proizlazi centralna hipoteza rada, koja pretpostavlja da bezbednosni sloj jeste merljivo opterećenje, ali opterećenje koje ostaje u granicama prihvatljivim za praktičnu upotrebu pametnog doma. Hipoteza se doslovno formuliše na sledeći način:</w:t>
      </w:r>
    </w:p>
    <w:p>
      <w:pPr>
        <w:pStyle w:val="IntenseQuote"/>
      </w:pPr>
      <w:r>
        <w:t>Uprkos merljivim opterećenjima (RAM, latencija/veličina paketa, vreme handshake-a), degradacija performansi ostaje unutar prihvatljivih granica (odziv &lt; 200 ms) za normalno funkcionisanje Smart Home sistema — bezbednost se drastično povećava bez narušavanja korisničkog iskustva.</w:t>
      </w:r>
    </w:p>
    <w:p>
      <w:pPr>
        <w:pStyle w:val="Heading3"/>
        <w:keepNext/>
      </w:pPr>
      <w:r>
        <w:t>Razlaganje na merljive tvrdnje</w:t>
      </w:r>
    </w:p>
    <w:p>
      <w:r>
        <w:t xml:space="preserve">Da bi bila proverljiva, hipoteza se razlaže na nekoliko nezavisno merljivih tvrdnji. Prva se odnosi na radnu memoriju: očekuje se da TLS trajno zadrži određenu količinu heap-a zbog kriptografskih bafera, sesijskog stanja i parsiranog lanca sertifikata. Druga se tiče vremena povezivanja, gde se TLS rukovanje očekuje kao dodatni, jednokratni trošak pri svakom uspostavljanju veze. Treća tvrdnja obuhvata mrežni sloj — svaka objavljena poruka nosi dodatne bajtove zaglavlja i kriptografske overhead-e, čime raste i veličina pojedinačnog paketa i ukupan obim saobraćaja po sesiji. Četvrta, koja je i najvažnija za potvrdu hipoteze, jeste da vreme odziva na komandu od kraja do kraja (engl. </w:t>
      </w:r>
      <w:r>
        <w:rPr>
          <w:i/>
        </w:rPr>
        <w:t>round-trip time</w:t>
      </w:r>
      <w:r>
        <w:t>, RTT) u ustaljenom stanju ostane ispod 200 ms. Peta tvrdnja odnosi se na procesor, gde se očekuje kratkotrajni skok opterećenja tokom rukovanja i zanemarljiv trošak u ustaljenom radu. Naspram svih ovih troškova stoji tvrdnja o dobitku — da se bezbednost, dokazivo na nivou mrežnog saobraćaja, drastično povećava.</w:t>
      </w:r>
    </w:p>
    <w:p>
      <w:pPr>
        <w:pStyle w:val="Heading3"/>
        <w:keepNext/>
      </w:pPr>
      <w:r>
        <w:t>Kritična distinkcija: jednokratni naspram troška po komandi</w:t>
      </w:r>
    </w:p>
    <w:p>
      <w:r>
        <w:t xml:space="preserve">Ispravno tumačenje hipoteze zahteva jasno razdvajanje dva suštinski različita troška koja TLS unosi. Prvi je </w:t>
      </w:r>
      <w:r>
        <w:rPr>
          <w:i/>
        </w:rPr>
        <w:t>jednokratni</w:t>
      </w:r>
      <w:r>
        <w:t xml:space="preserve"> trošak povezivanja: TLS rukovanje se odvija jednom po uspostavljanju veze (i po svakom ponovnom povezivanju) i traje reda pola sekunde, ali se ne ponavlja pri svakoj komandi. Drugi je </w:t>
      </w:r>
      <w:r>
        <w:rPr>
          <w:i/>
        </w:rPr>
        <w:t>trošak po komandi u ustaljenom stanju</w:t>
      </w:r>
      <w:r>
        <w:t>, koji nastaje kada je sigurni kanal već uspostavljen i svodi se na simetrično šifrovanje i dešifrovanje pojedinačne poruke, reda jednog milisekunda. Prag od 200 ms iz hipoteze odnosi se isključivo na ovaj drugi, po-komandni odziv, a ne na jednokratno rukovanje. Ta distinkcija je okosnica celog rada: bez nje bi se prolazni trošak povezivanja pogrešno pripisao svakodnevnom radu sistema i doveo do netačnog odbacivanja inače potvrđene hipoteze.</w:t>
      </w:r>
    </w:p>
    <w:p>
      <w:pPr>
        <w:pStyle w:val="Heading2"/>
        <w:keepNext/>
      </w:pPr>
      <w:r>
        <w:t>Naučni i praktični doprinos</w:t>
      </w:r>
    </w:p>
    <w:p>
      <w:pPr>
        <w:pStyle w:val="Heading3"/>
        <w:keepNext/>
      </w:pPr>
      <w:r>
        <w:t>Naučni doprinos</w:t>
      </w:r>
    </w:p>
    <w:p>
      <w:r>
        <w:t>Naučni doprinos rada ogleda se u sistematičnom i reproducibilnom kvantifikovanju cene TLS-a na stvarnom mikrokontroleru ograničenih resursa, umesto na osnovu procena ili merenja na moćnijim platformama. Merenja su izvedena na živom hardveru, sa jasno definisanim uzorcima (trideset boot-ciklusa po čvoru za memoriju i vreme povezivanja, stotinu ponavljanja po kanalu za odziv na komandu, te snimak mrežnog saobraćaja) i metodom unakrsnog oduzimanja koja izoluje uticaj isključivo TLS-a. Poseban doprinos predstavlja precizno razdvajanje jednokratnog troška rukovanja od troška po komandi, čime se izbegava česta konceptualna greška pri ocenjivanju performansi šifrovane komunikacije. Uz to, rad pruža dokaz bezbednosne koristi na nivou žice — poređenje nešifrovanog i šifrovanog kanala pokazuje razliku između potpuno čitljivog saobraćaja i neprobojnog šifrovanog toka.</w:t>
      </w:r>
    </w:p>
    <w:p>
      <w:pPr>
        <w:pStyle w:val="Heading3"/>
        <w:keepNext/>
      </w:pPr>
      <w:r>
        <w:t>Praktični doprinos</w:t>
      </w:r>
    </w:p>
    <w:p>
      <w:r>
        <w:t>Praktični doprinos je pokazivanje da je bezbedan MQTTS u potpunosti izvodljiv na platformi ESP32 za primenu u pametnom domu, i to bez izmene građevinske konfiguracije firmvera — biblioteka mbedTLS već je ukompajlirana u sliku, pa se sigurni kanal dobija izmenom aplikativnog koda. Time rad daje konkretnu smernicu projektantima ugradbenih sistema: trošak enkripcije, iako merljiv, ne ugrožava odzivnost. Uz to, celokupan merni postupak isporučen je kao skup ponovljivih artefakata — skripti, snimaka saobraćaja i skupova podataka — koji omogućavaju nezavisnu proveru i ponovno izvođenje svih iznetih brojeva.</w:t>
      </w:r>
    </w:p>
    <w:p>
      <w:pPr>
        <w:pStyle w:val="Heading2"/>
        <w:keepNext/>
      </w:pPr>
      <w:r>
        <w:t>Struktura rada</w:t>
      </w:r>
    </w:p>
    <w:p>
      <w:r>
        <w:t>Rad je organizovan tako da čitaoca postupno vodi od teorijske podloge do empirijske potvrde hipoteze. Nakon ovog uvoda, teorijski okvir uvodi pojmove MQTT-a, TLS-a i kriptografskih mehanizama koji čine osnovu enkriptovane komunikacije, kao i pretnje koje bezbednosni sloj otklanja. Zatim sledi opis sistema, koji predstavlja topologiju, uloge dvaju čvorova i centralnog računara, te razlog zbog kojeg poređenje nezaštićenog i zaštićenog čvora predstavlja pošteno merenje.</w:t>
      </w:r>
    </w:p>
    <w:p>
      <w:r>
        <w:t>Naredno poglavlje detaljno opisuje komponente sistema — deljenu programsku komponentu firmvera, konfiguraciju brokera sa dva slušača i pripadajuću infrastrukturu javnih ključeva i sertifikata. Poglavlje o metodologiji izlaže četiri merenja (radna memorija, vreme rukovanja, mrežni sloj i odziv na komandu), korišćenu instrumentaciju i alate, kao i način obrade podataka. U poglavlju o rezultatima iznose se izmerene vrednosti sa pratećim grafikonima i tabelama, dok diskusija ta merenja tumači i smešta u širi kontekst, uz osvrt na ograničenja. Posebno poglavlje posvećeno je proveri hipoteze, u kojem se svaka njena tvrdnja suočava sa odgovarajućim merenjem. Rad se zatvara zaključkom koji sažima nalaze i potvrđuje da enkripcija drastično podiže bezbednost uz odziv koji ostaje ispod postavljenog praga.</w:t>
      </w:r>
    </w:p>
    <w:p>
      <w:r>
        <w:br w:type="page"/>
      </w:r>
    </w:p>
    <w:p>
      <w:pPr>
        <w:pStyle w:val="Heading1"/>
        <w:keepNext/>
      </w:pPr>
      <w:r>
        <w:t>Teorijski okvir</w:t>
      </w:r>
    </w:p>
    <w:p>
      <w:r>
        <w:t xml:space="preserve">Ovo poglavlje postavlja pojmovnu osnovu neophodnu za razumevanje mernog dela rada. Redosled izlaganja prati slojeve na kojima se odvija komunikacija razmatranog sistema: od domena Interneta stvari i pametnog doma, preko protokola za razmenu poruka </w:t>
      </w:r>
      <w:r>
        <w:rPr>
          <w:i/>
        </w:rPr>
        <w:t>MQTT</w:t>
      </w:r>
      <w:r>
        <w:t xml:space="preserve"> i njegovog obrasca objavi–pretplati, do bezbednosnog sloja </w:t>
      </w:r>
      <w:r>
        <w:rPr>
          <w:i/>
        </w:rPr>
        <w:t>Transport Layer Security (TLS)</w:t>
      </w:r>
      <w:r>
        <w:t xml:space="preserve"> koji taj saobraćaj štiti. Poseban naglasak stavljen je na one teorijske pojedinosti iz kojih kasniji rezultati direktno proizlaze — pre svega na građu </w:t>
      </w:r>
      <w:r>
        <w:rPr>
          <w:i/>
        </w:rPr>
        <w:t>TLS</w:t>
      </w:r>
      <w:r>
        <w:t xml:space="preserve"> zapisa, koja objašnjava izmereni dodatak od 29 bajtova po poruci, i na strukturu </w:t>
      </w:r>
      <w:r>
        <w:rPr>
          <w:i/>
        </w:rPr>
        <w:t>TLS</w:t>
      </w:r>
      <w:r>
        <w:t xml:space="preserve"> rukovanja, koja objašnjava jednokratni trošak povezivanja. Na kraju se opisuje platforma </w:t>
      </w:r>
      <w:r>
        <w:rPr>
          <w:i/>
        </w:rPr>
        <w:t>Home Assistant</w:t>
      </w:r>
      <w:r>
        <w:t xml:space="preserve"> i mehanizam automatskog otkrivanja entiteta, kojim se čvorovi bez ručne konfiguracije uklapaju u sistem.</w:t>
      </w:r>
    </w:p>
    <w:p>
      <w:pPr>
        <w:pStyle w:val="Heading2"/>
        <w:keepNext/>
      </w:pPr>
      <w:r>
        <w:t>Internet stvari i Smart Home sistemi</w:t>
      </w:r>
    </w:p>
    <w:p>
      <w:r>
        <w:t xml:space="preserve">Internet stvari (engl. </w:t>
      </w:r>
      <w:r>
        <w:rPr>
          <w:i/>
        </w:rPr>
        <w:t>Internet of Things</w:t>
      </w:r>
      <w:r>
        <w:t>, IoT) označava mrežu fizičkih uređaja opremljenih senzorima, aktuatorima i mrežnim interfejsom, koji autonomno razmenjuju podatke i deluju na okolinu bez neprekidnog posredovanja čoveka. Za razliku od klasičnih računara, čvorovi Interneta stvari po pravilu su ugradbeni sistemi sa strogo ograničenim resursima: raspolažu sa nekoliko stotina kilobajta radne memorije, jednim ili dva procesorska jezgra skromne radne učestanosti i ograničenim energetskim budžetom. Ta ograničenja nisu sporedna okolnost, već činilac koji oblikuje svaku projektantsku odluku — od izbora komunikacionog protokola do procene da li se određeni bezbednosni mehanizam uopšte može priuštiti na datom hardveru.</w:t>
      </w:r>
    </w:p>
    <w:p>
      <w:r>
        <w:t xml:space="preserve">Pametni dom (engl. </w:t>
      </w:r>
      <w:r>
        <w:rPr>
          <w:i/>
        </w:rPr>
        <w:t>Smart Home</w:t>
      </w:r>
      <w:r>
        <w:t xml:space="preserve">) jedan je od najraširenijih izraza Interneta stvari u svakodnevnom životu. Reč je o domaćinstvu u kojem umrežena rasvetna tela, releji, termostati, senzori i drugi uređaji razmenjuju poruke i deluju usklađeno, najčešće preko centralnog kontrolera koji objedinjuje njihovo stanje i pruža korisnički interfejs. Čvorovi takvog sistema tipično se grade na jeftinim mikrokontrolerskim platformama, među kojima je </w:t>
      </w:r>
      <w:r>
        <w:rPr>
          <w:i/>
        </w:rPr>
        <w:t>ESP32</w:t>
      </w:r>
      <w:r>
        <w:t xml:space="preserve"> jedna od najzastupljenijih zahvaljujući integrisanom Wi-Fi modulu, dvojezgarnom procesoru i podršci za kriptografsko ubrzanje. Upravo činjenica da isti uređaj mora istovremeno da izvršava aplikacionu logiku, da održava mrežni stek i — kada se uvede zaštita — da obavlja kriptografske operacije, čini pitanje cene bezbednosnog sloja na ovakvoj platformi suštinskim, a ne akademskim.</w:t>
      </w:r>
    </w:p>
    <w:p>
      <w:pPr>
        <w:pStyle w:val="Heading2"/>
        <w:keepNext/>
      </w:pPr>
      <w:r>
        <w:t>MQTT protokol</w:t>
      </w:r>
    </w:p>
    <w:p>
      <w:r>
        <w:rPr>
          <w:i/>
        </w:rPr>
        <w:t>Message Queuing Telemetry Transport (MQTT)</w:t>
      </w:r>
      <w:r>
        <w:t xml:space="preserve"> je lagan protokol aplikacionog sloja za razmenu poruka, izvorno projektovan za mreže niske propusnosti i visoke nepouzdanosti. Radi preko pouzdanog transporta </w:t>
      </w:r>
      <w:r>
        <w:rPr>
          <w:i/>
        </w:rPr>
        <w:t>Transmission Control Protocol (TCP)</w:t>
      </w:r>
      <w:r>
        <w:t xml:space="preserve"> i odlikuje se malim zaglavljem, jednostavnim skupom komandi i skromnim zahtevima prema klijentu, zbog čega se nametnuo kao de facto standard za komunikaciju u Internetu stvari i pametnom domu. Njegova pogodnost za uređaje ograničenih resursa proizlazi upravo iz minimalnog troška po poruci i iz asinhronog obrasca komunikacije koji učesnike ne prisiljava da istovremeno budu na mreži.</w:t>
      </w:r>
    </w:p>
    <w:p>
      <w:pPr>
        <w:pStyle w:val="Heading3"/>
        <w:keepNext/>
      </w:pPr>
      <w:r>
        <w:t>Model objavi/pretplati i uloga brokera</w:t>
      </w:r>
    </w:p>
    <w:p>
      <w:r>
        <w:t xml:space="preserve">Za razliku od klasičnog obrasca zahtev–odgovor, u kojem klijent direktno kontaktira server, </w:t>
      </w:r>
      <w:r>
        <w:rPr>
          <w:i/>
        </w:rPr>
        <w:t>MQTT</w:t>
      </w:r>
      <w:r>
        <w:t xml:space="preserve"> počiva na obrascu objavi–pretplati (engl. </w:t>
      </w:r>
      <w:r>
        <w:rPr>
          <w:i/>
        </w:rPr>
        <w:t>publish/subscribe</w:t>
      </w:r>
      <w:r>
        <w:t xml:space="preserve">). U tom modelu učesnici ne komuniciraju međusobno neposredno, već preko posrednika koji se naziva broker. Pošiljalac (izdavač) objavljuje poruku na imenovani kanal — temu (engl. </w:t>
      </w:r>
      <w:r>
        <w:rPr>
          <w:i/>
        </w:rPr>
        <w:t>topic</w:t>
      </w:r>
      <w:r>
        <w:t>) — ne znajući ko je, ako iko, prima. Primalac (pretplatnik) izražava interesovanje za jednu ili više tema, a broker mu prosleđuje svaku poruku objavljenu na temama na koje je pretplaćen. Tako se izdavači i pretplatnici razdvajaju u tri dimenzije: prostorno (ne poznaju međusobne adrese), vremenski (ne moraju biti istovremeno na mreži) i po sinhronizaciji (objava ne blokira pošiljaoca).</w:t>
      </w:r>
    </w:p>
    <w:p>
      <w:r>
        <w:t xml:space="preserve">Broker je središnja tačka celokupne komunikacije: prima sve objave, održava evidenciju pretplata i usmerava poruke odgovarajućim pretplatnicima. Ta centralizacija čini sistem lako proširivim — novi čvor se uključuje prostim povezivanjem na brokera, bez ikakve izmene postojećih učesnika — ali istovremeno znači da svaka poruka prolazi kroz jedno mesto, što ga čini prirodnim mestom za sprovođenje provere identiteta i, kao što se kasnije pokazuje, tačkom u kojoj se saobraćaj može presresti ako nije zaštićen. U razmatranom sistemu ulogu brokera ima </w:t>
      </w:r>
      <w:r>
        <w:rPr>
          <w:i/>
        </w:rPr>
        <w:t>Eclipse Mosquitto</w:t>
      </w:r>
      <w:r>
        <w:t xml:space="preserve">, dok su dva čvora zasnovana na </w:t>
      </w:r>
      <w:r>
        <w:rPr>
          <w:i/>
        </w:rPr>
        <w:t>ESP32</w:t>
      </w:r>
      <w:r>
        <w:t xml:space="preserve"> njegovi klijenti, a centralni kontroler istovremeno je i pretplatnik i izdavač.</w:t>
      </w:r>
    </w:p>
    <w:p>
      <w:pPr>
        <w:pStyle w:val="Heading3"/>
        <w:keepNext/>
      </w:pPr>
      <w:r>
        <w:t>Kvalitet isporuke, zadržane poruke i testament</w:t>
      </w:r>
    </w:p>
    <w:p>
      <w:r>
        <w:rPr>
          <w:i/>
        </w:rPr>
        <w:t>MQTT</w:t>
      </w:r>
      <w:r>
        <w:t xml:space="preserve"> nudi tri nivoa kvaliteta isporuke (engl. </w:t>
      </w:r>
      <w:r>
        <w:rPr>
          <w:i/>
        </w:rPr>
        <w:t>Quality of Service</w:t>
      </w:r>
      <w:r>
        <w:t>, QoS), kojima izdavač bira ravnotežu između pouzdanosti i troška. Pri nivou QoS 0 poruka se šalje najviše jednom, bez potvrde, pa se u nepovoljnim uslovima može izgubiti; ovaj nivo nosi najmanji trošak i dovoljan je za česta, kratkotrajna očitavanja kod kojih pojedinačni gubitak nije kritičan. Nivo QoS 1 garantuje isporuku najmanje jednom, uz potvrdu prijema, ali dopušta moguće ponavljanje poruke. Nivo QoS 2 obezbeđuje isporuku tačno jednom, po cenu razmene više kontrolnih paketa. Naredna tabela sažima ove nivoe.</w:t>
      </w:r>
    </w:p>
    <w:p>
      <w:pPr>
        <w:spacing w:before="80" w:after="80"/>
        <w:jc w:val="left"/>
        <w:keepNext/>
      </w:pPr>
      <w:r>
        <w:rPr>
          <w:b/>
          <w:i/>
          <w:sz w:val="19"/>
        </w:rPr>
        <w:t xml:space="preserve">Tabela 1. </w:t>
      </w:r>
      <w:r>
        <w:rPr>
          <w:i/>
          <w:sz w:val="19"/>
        </w:rPr>
        <w:t>Nivoi kvaliteta isporuke (QoS) u protokolu MQTT</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Nivo</w:t>
            </w:r>
          </w:p>
        </w:tc>
        <w:tc>
          <w:tcPr>
            <w:tcW w:type="dxa" w:w="2929"/>
            <w:shd w:val="clear" w:color="auto" w:fill="1f3864"/>
            <w:vAlign w:val="center"/>
          </w:tcPr>
          <w:p>
            <w:pPr>
              <w:spacing w:after="40" w:before="40"/>
              <w:jc w:val="center"/>
            </w:pPr>
            <w:r>
              <w:rPr>
                <w:b/>
                <w:color w:val="FFFFFF"/>
                <w:sz w:val="19"/>
              </w:rPr>
              <w:t>Garancija</w:t>
            </w:r>
          </w:p>
        </w:tc>
        <w:tc>
          <w:tcPr>
            <w:tcW w:type="dxa" w:w="2929"/>
            <w:shd w:val="clear" w:color="auto" w:fill="1f3864"/>
            <w:vAlign w:val="center"/>
          </w:tcPr>
          <w:p>
            <w:pPr>
              <w:spacing w:after="40" w:before="40"/>
              <w:jc w:val="center"/>
            </w:pPr>
            <w:r>
              <w:rPr>
                <w:b/>
                <w:color w:val="FFFFFF"/>
                <w:sz w:val="19"/>
              </w:rPr>
              <w:t>Trošak</w:t>
            </w:r>
          </w:p>
        </w:tc>
      </w:tr>
      <w:tr>
        <w:tc>
          <w:tcPr>
            <w:tcW w:type="dxa" w:w="2929"/>
            <w:vAlign w:val="center"/>
          </w:tcPr>
          <w:p>
            <w:pPr>
              <w:spacing w:after="20" w:before="20"/>
            </w:pPr>
            <w:r>
              <w:rPr>
                <w:b/>
                <w:sz w:val="19"/>
              </w:rPr>
              <w:t>QoS 0</w:t>
            </w:r>
          </w:p>
        </w:tc>
        <w:tc>
          <w:tcPr>
            <w:tcW w:type="dxa" w:w="2929"/>
            <w:vAlign w:val="center"/>
          </w:tcPr>
          <w:p>
            <w:pPr>
              <w:spacing w:after="20" w:before="20"/>
            </w:pPr>
            <w:r>
              <w:rPr>
                <w:sz w:val="19"/>
              </w:rPr>
              <w:t>najviše jednom (bez potvrde)</w:t>
            </w:r>
          </w:p>
        </w:tc>
        <w:tc>
          <w:tcPr>
            <w:tcW w:type="dxa" w:w="2929"/>
            <w:vAlign w:val="center"/>
          </w:tcPr>
          <w:p>
            <w:pPr>
              <w:spacing w:after="20" w:before="20"/>
            </w:pPr>
            <w:r>
              <w:rPr>
                <w:sz w:val="19"/>
              </w:rPr>
              <w:t>najmanji; moguć gubitak poruke</w:t>
            </w:r>
          </w:p>
        </w:tc>
      </w:tr>
      <w:tr>
        <w:tc>
          <w:tcPr>
            <w:tcW w:type="dxa" w:w="2929"/>
            <w:vAlign w:val="center"/>
          </w:tcPr>
          <w:p>
            <w:pPr>
              <w:spacing w:after="20" w:before="20"/>
            </w:pPr>
            <w:r>
              <w:rPr>
                <w:b/>
                <w:sz w:val="19"/>
              </w:rPr>
              <w:t>QoS 1</w:t>
            </w:r>
          </w:p>
        </w:tc>
        <w:tc>
          <w:tcPr>
            <w:tcW w:type="dxa" w:w="2929"/>
            <w:vAlign w:val="center"/>
          </w:tcPr>
          <w:p>
            <w:pPr>
              <w:spacing w:after="20" w:before="20"/>
            </w:pPr>
            <w:r>
              <w:rPr>
                <w:sz w:val="19"/>
              </w:rPr>
              <w:t>najmanje jednom (uz potvrdu)</w:t>
            </w:r>
          </w:p>
        </w:tc>
        <w:tc>
          <w:tcPr>
            <w:tcW w:type="dxa" w:w="2929"/>
            <w:vAlign w:val="center"/>
          </w:tcPr>
          <w:p>
            <w:pPr>
              <w:spacing w:after="20" w:before="20"/>
            </w:pPr>
            <w:r>
              <w:rPr>
                <w:sz w:val="19"/>
              </w:rPr>
              <w:t>srednji; moguće ponavljanje</w:t>
            </w:r>
          </w:p>
        </w:tc>
      </w:tr>
      <w:tr>
        <w:tc>
          <w:tcPr>
            <w:tcW w:type="dxa" w:w="2929"/>
            <w:vAlign w:val="center"/>
          </w:tcPr>
          <w:p>
            <w:pPr>
              <w:spacing w:after="20" w:before="20"/>
            </w:pPr>
            <w:r>
              <w:rPr>
                <w:b/>
                <w:sz w:val="19"/>
              </w:rPr>
              <w:t>QoS 2</w:t>
            </w:r>
          </w:p>
        </w:tc>
        <w:tc>
          <w:tcPr>
            <w:tcW w:type="dxa" w:w="2929"/>
            <w:vAlign w:val="center"/>
          </w:tcPr>
          <w:p>
            <w:pPr>
              <w:spacing w:after="20" w:before="20"/>
            </w:pPr>
            <w:r>
              <w:rPr>
                <w:sz w:val="19"/>
              </w:rPr>
              <w:t>tačno jednom (dvostepena razmena)</w:t>
            </w:r>
          </w:p>
        </w:tc>
        <w:tc>
          <w:tcPr>
            <w:tcW w:type="dxa" w:w="2929"/>
            <w:vAlign w:val="center"/>
          </w:tcPr>
          <w:p>
            <w:pPr>
              <w:spacing w:after="20" w:before="20"/>
            </w:pPr>
            <w:r>
              <w:rPr>
                <w:sz w:val="19"/>
              </w:rPr>
              <w:t>najveći; bez gubitka i ponavljanja</w:t>
            </w:r>
          </w:p>
        </w:tc>
      </w:tr>
    </w:tbl>
    <w:p>
      <w:r>
        <w:t xml:space="preserve">Pored kvaliteta isporuke, dve odlike protokola ključne su za ponašanje sistema. Zadržana (engl. </w:t>
      </w:r>
      <w:r>
        <w:rPr>
          <w:i/>
        </w:rPr>
        <w:t>retained</w:t>
      </w:r>
      <w:r>
        <w:t xml:space="preserve">) poruka jeste ona koju broker čuva kao poslednju poznatu vrednost na datoj temi i odmah isporučuje svakom novom pretplatniku, bez čekanja na sledeću objavu. Zahvaljujući tome, kontroler po ponovnom pokretanju trenutno dobija tekuće stanje svih entiteta. Druga odlika je testament (engl. </w:t>
      </w:r>
      <w:r>
        <w:rPr>
          <w:i/>
        </w:rPr>
        <w:t>Last Will and Testament</w:t>
      </w:r>
      <w:r>
        <w:t xml:space="preserve">, LWT): pri povezivanju klijent može brokeru unapred predati poruku koju će broker objaviti u njegovo ime ako veza neočekivano padne. U razmatranom sistemu testament je zadržana poruka </w:t>
      </w:r>
      <w:r>
        <w:rPr>
          <w:rFonts w:ascii="Consolas" w:hAnsi="Consolas"/>
          <w:sz w:val="21"/>
        </w:rPr>
        <w:t>offline</w:t>
      </w:r>
      <w:r>
        <w:t xml:space="preserve"> na temi dostupnosti, čime kontroler odmah saznaje da je čvor nedostupan, dok se pri uspešnom povezivanju objavljuje </w:t>
      </w:r>
      <w:r>
        <w:rPr>
          <w:rFonts w:ascii="Consolas" w:hAnsi="Consolas"/>
          <w:sz w:val="21"/>
        </w:rPr>
        <w:t>online</w:t>
      </w:r>
      <w:r>
        <w:t>.</w:t>
      </w:r>
    </w:p>
    <w:p>
      <w:pPr>
        <w:pStyle w:val="Heading3"/>
        <w:keepNext/>
      </w:pPr>
      <w:r>
        <w:t>Struktura topica</w:t>
      </w:r>
    </w:p>
    <w:p>
      <w:r>
        <w:t xml:space="preserve">Teme u protokolu </w:t>
      </w:r>
      <w:r>
        <w:rPr>
          <w:i/>
        </w:rPr>
        <w:t>MQTT</w:t>
      </w:r>
      <w:r>
        <w:t xml:space="preserve"> organizovane su hijerarhijski, kao niz nivoa razdvojenih kosom crtom (na primer </w:t>
      </w:r>
      <w:r>
        <w:rPr>
          <w:rFonts w:ascii="Consolas" w:hAnsi="Consolas"/>
          <w:sz w:val="21"/>
        </w:rPr>
        <w:t>home/temperature/sensor/state</w:t>
      </w:r>
      <w:r>
        <w:t xml:space="preserve">). Ova struktura nalik putanji omogućava uređeno grupisanje poruka po uređaju i funkciji, a pretplatnicima dopušta korišćenje džoker-znakova: znak </w:t>
      </w:r>
      <w:r>
        <w:rPr>
          <w:rFonts w:ascii="Consolas" w:hAnsi="Consolas"/>
          <w:sz w:val="21"/>
        </w:rPr>
        <w:t>+</w:t>
      </w:r>
      <w:r>
        <w:t xml:space="preserve"> zamenjuje tačno jedan nivo, dok znak </w:t>
      </w:r>
      <w:r>
        <w:rPr>
          <w:rFonts w:ascii="Consolas" w:hAnsi="Consolas"/>
          <w:sz w:val="21"/>
        </w:rPr>
        <w:t>#</w:t>
      </w:r>
      <w:r>
        <w:t xml:space="preserve"> obuhvata sve preostale nivoe od date tačke naniže. Time jedan pretplatnik može pratiti čitavo podstablo tema jednom pretplatom.</w:t>
      </w:r>
    </w:p>
    <w:p>
      <w:r>
        <w:t>Bitno je uočiti da su teme samo nizovi znakova bez ikakvog ugrađenog bezbednosnog značenja — one određuju usmeravanje poruka, ali ne štite njihov sadržaj. U osnovnom, nešifrovanom obliku i naziv teme i korisni sadržaj poruke putuju mrežom u čistom tekstu, pa svako ko presretne saobraćaj može pročitati i jedno i drugo. Ta okolnost neposredno vodi ka potrebi za bezbednosnim slojem koji se razmatra u nastavku.</w:t>
      </w:r>
    </w:p>
    <w:p>
      <w:pPr>
        <w:pStyle w:val="Heading2"/>
        <w:keepNext/>
      </w:pPr>
      <w:r>
        <w:t>Bezbednost transporta: TLS</w:t>
      </w:r>
    </w:p>
    <w:p>
      <w:r>
        <w:rPr>
          <w:i/>
        </w:rPr>
        <w:t>Transport Layer Security (TLS)</w:t>
      </w:r>
      <w:r>
        <w:t xml:space="preserve">, naslednik ranijeg protokola </w:t>
      </w:r>
      <w:r>
        <w:rPr>
          <w:i/>
        </w:rPr>
        <w:t>Secure Sockets Layer (SSL)</w:t>
      </w:r>
      <w:r>
        <w:t>, jeste kriptografski protokol koji se umeće između pouzdanog transporta (</w:t>
      </w:r>
      <w:r>
        <w:rPr>
          <w:i/>
        </w:rPr>
        <w:t>TCP</w:t>
      </w:r>
      <w:r>
        <w:t xml:space="preserve">) i aplikacionog protokola, pa aplikacija — u ovom slučaju </w:t>
      </w:r>
      <w:r>
        <w:rPr>
          <w:i/>
        </w:rPr>
        <w:t>MQTT</w:t>
      </w:r>
      <w:r>
        <w:t xml:space="preserve"> — nastavlja da radi neizmenjeno, ali kroz zaštićen tunel. </w:t>
      </w:r>
      <w:r>
        <w:rPr>
          <w:i/>
        </w:rPr>
        <w:t>TLS</w:t>
      </w:r>
      <w:r>
        <w:t xml:space="preserve"> obezbeđuje tri temeljna svojstva bezbedne komunikacije: poverljivost (sadržaj je nečitljiv za prisluškivača), integritet (svaka izmena podataka u prenosu biva otkrivena) i autentičnost servera (klijent se uverava da razgovara sa stvarnim, a ne lažnim sagovornikom). U razmatranom sistemu koristi se verzija </w:t>
      </w:r>
      <w:r>
        <w:rPr>
          <w:i/>
        </w:rPr>
        <w:t>TLS 1.2</w:t>
      </w:r>
      <w:r>
        <w:t>, koja odgovara mogućnostima biblioteke mbedTLS ukompajlirane u firmver čvora.</w:t>
      </w:r>
    </w:p>
    <w:p>
      <w:r>
        <w:t xml:space="preserve">Rad protokola odvija se u dve jasno razdvojene faze koje objašnjavaju dva različita troška izmerena u radu. Prva je faza uspostavljanja bezbednog kanala — rukovanje (engl. </w:t>
      </w:r>
      <w:r>
        <w:rPr>
          <w:i/>
        </w:rPr>
        <w:t>handshake</w:t>
      </w:r>
      <w:r>
        <w:t>) — koja se izvodi jednom po povezivanju i oslanja se na skupu asimetričnu kriptografiju. Druga je faza prenosa podataka, u kojoj se sve poruke štite znatno jeftinijom simetričnom šifrom. Razumevanje obe faze neophodno je da bi se jednokratni trošak povezivanja ispravno razdvojio od troška po pojedinačnoj poruci.</w:t>
      </w:r>
    </w:p>
    <w:p>
      <w:pPr>
        <w:pStyle w:val="Heading3"/>
        <w:keepNext/>
      </w:pPr>
      <w:r>
        <w:t>TLS rukovanje i asimetrična kriptografija</w:t>
      </w:r>
    </w:p>
    <w:p>
      <w:r>
        <w:t>Cilj rukovanja jeste da dve strane, koje se prethodno nisu poznavale, dogovore zajednički tajni ključ i da klijent proveri identitet servera — sve to preko kanala koji prisluškivač može da posmatra. To se postiže asimetričnom kriptografijom, u kojoj svaki učesnik raspolaže parom matematički povezanih ključeva: javnim, koji se slobodno deli, i privatnim, koji nikada ne napušta vlasnika. Ono što je šifrovano ili potpisano jednim ključem iz para proverava se ili dešifruje drugim, što omogućava dogovor o tajni i proveru identiteta bez prethodne razmene ijedne zajedničke tajne.</w:t>
      </w:r>
    </w:p>
    <w:p>
      <w:r>
        <w:t xml:space="preserve">Za dogovor o ključu razmatrani sistem koristi efemerni Diffie-Hellman nad eliptičnim krivama (engl. </w:t>
      </w:r>
      <w:r>
        <w:rPr>
          <w:i/>
        </w:rPr>
        <w:t>Elliptic Curve Diffie-Hellman Ephemeral</w:t>
      </w:r>
      <w:r>
        <w:t xml:space="preserve">, ECDHE). U toj razmeni obe strane doprinose privremenim, jednokratnim vrednostima iz kojih izvode zajednički tajni ključ, a te se vrednosti odbacuju po završetku sesije. Odatle proizlazi svojstvo unapredne tajnosti (engl. </w:t>
      </w:r>
      <w:r>
        <w:rPr>
          <w:i/>
        </w:rPr>
        <w:t>forward secrecy</w:t>
      </w:r>
      <w:r>
        <w:t>): čak i ako bi privatni ključ servera kasnije bio kompromitovan, ranije snimljeni saobraćaj ostaje nemoguće dešifrovati, jer efemerni ključevi više ne postoje.</w:t>
      </w:r>
    </w:p>
    <w:p>
      <w:r>
        <w:t xml:space="preserve">Sama razmena, međutim, ne dokazuje ko je sagovornik, pa je podložna napadu tipa „čovek u sredini". Zato server svoje efemerne parametre potpisuje privatnim ključem iz svog sertifikata, koristeći algoritam </w:t>
      </w:r>
      <w:r>
        <w:rPr>
          <w:i/>
        </w:rPr>
        <w:t>RSA (Rivest–Shamir–Adleman)</w:t>
      </w:r>
      <w:r>
        <w:t xml:space="preserve"> sa ključem dužine 2048 bita, a klijent taj potpis proverava odgovarajućim javnim ključem. Upravo ovaj korak — provera </w:t>
      </w:r>
      <w:r>
        <w:rPr>
          <w:i/>
        </w:rPr>
        <w:t>RSA</w:t>
      </w:r>
      <w:r>
        <w:t xml:space="preserve"> potpisa dužine 2048 bita, spojena sa računski zahtevnom </w:t>
      </w:r>
      <w:r>
        <w:rPr>
          <w:i/>
        </w:rPr>
        <w:t>ECDHE</w:t>
      </w:r>
      <w:r>
        <w:t xml:space="preserve"> razmenom i parsiranjem primljenog lanca sertifikata — čini rukovanje računski najskupljim delom celokupne komunikacije. Na mikrokontroleru ograničenih resursa taj trošak je merljiv i predstavlja jednokratno opterećenje koje se javlja pri svakom uspostavljanju ili obnavljanju veze, ali se ne ponavlja pri prenosu pojedinačnih poruka.</w:t>
      </w:r>
    </w:p>
    <w:p>
      <w:pPr>
        <w:pStyle w:val="Heading3"/>
        <w:keepNext/>
      </w:pPr>
      <w:r>
        <w:t>Simetrična enkripcija i AEAD/AES-GCM</w:t>
      </w:r>
    </w:p>
    <w:p>
      <w:r>
        <w:t xml:space="preserve">Čim rukovanje dogovori zajednički tajni ključ, prelazi se na simetričnu kriptografiju, u kojoj obe strane koriste isti ključ za šifrovanje i dešifrovanje. Simetrične šifre su reda veličine brže od asimetričnih, a na platformi </w:t>
      </w:r>
      <w:r>
        <w:rPr>
          <w:i/>
        </w:rPr>
        <w:t>ESP32</w:t>
      </w:r>
      <w:r>
        <w:t xml:space="preserve"> dodatno ih ubrzava namensko hardversko izvršavanje operacija </w:t>
      </w:r>
      <w:r>
        <w:rPr>
          <w:i/>
        </w:rPr>
        <w:t>Advanced Encryption Standard (AES)</w:t>
      </w:r>
      <w:r>
        <w:t xml:space="preserve"> i heš-funkcija, pa je trošak zaštite pojedinačne poruke u ustaljenom stanju vrlo mali. Razmatrani sistem koristi </w:t>
      </w:r>
      <w:r>
        <w:rPr>
          <w:i/>
        </w:rPr>
        <w:t>AES</w:t>
      </w:r>
      <w:r>
        <w:t xml:space="preserve"> sa ključem dužine 256 bita.</w:t>
      </w:r>
    </w:p>
    <w:p>
      <w:r>
        <w:t xml:space="preserve">Način rada šifre je Galoaov brojački režim (engl. </w:t>
      </w:r>
      <w:r>
        <w:rPr>
          <w:i/>
        </w:rPr>
        <w:t>Galois/Counter Mode</w:t>
      </w:r>
      <w:r>
        <w:t xml:space="preserve">, GCM), koji pripada porodici šifrovanja sa autentifikacijom i pridruženim podacima (engl. </w:t>
      </w:r>
      <w:r>
        <w:rPr>
          <w:i/>
        </w:rPr>
        <w:t>Authenticated Encryption with Associated Data</w:t>
      </w:r>
      <w:r>
        <w:t xml:space="preserve">, AEAD). Za razliku od običnog šifrovanja koje samo obezbeđuje poverljivost, </w:t>
      </w:r>
      <w:r>
        <w:rPr>
          <w:i/>
        </w:rPr>
        <w:t>AEAD</w:t>
      </w:r>
      <w:r>
        <w:t xml:space="preserve"> jednom operacijom istovremeno šifruje sadržaj i računa oznaku autentičnosti kojom se, pri dešifrovanju, otkriva svaka izmena podataka. Time se poverljivost i integritet postižu zajedno, bez potrebe za zasebnim mehanizmom provere celovitosti.</w:t>
      </w:r>
    </w:p>
    <w:p>
      <w:r>
        <w:t xml:space="preserve">Ta udobnost, međutim, nosi fiksni trošak u bajtovima po svakom </w:t>
      </w:r>
      <w:r>
        <w:rPr>
          <w:i/>
        </w:rPr>
        <w:t>TLS</w:t>
      </w:r>
      <w:r>
        <w:t xml:space="preserve"> zapisu, koji neposredno objašnjava mrežni dodatak izmeren u radu. Svaki </w:t>
      </w:r>
      <w:r>
        <w:rPr>
          <w:i/>
        </w:rPr>
        <w:t>TLS 1.2</w:t>
      </w:r>
      <w:r>
        <w:t xml:space="preserve"> zapis sa šifrom </w:t>
      </w:r>
      <w:r>
        <w:rPr>
          <w:i/>
        </w:rPr>
        <w:t>AES-GCM</w:t>
      </w:r>
      <w:r>
        <w:t xml:space="preserve"> nosi zaglavlje zapisa od 5 bajtova (tip sadržaja, verzija protokola i dužina), eksplicitni nonce od 8 bajtova neophodan režimu </w:t>
      </w:r>
      <w:r>
        <w:rPr>
          <w:i/>
        </w:rPr>
        <w:t>GCM</w:t>
      </w:r>
      <w:r>
        <w:t xml:space="preserve"> i oznaku autentičnosti </w:t>
      </w:r>
      <w:r>
        <w:rPr>
          <w:i/>
        </w:rPr>
        <w:t>AEAD</w:t>
      </w:r>
      <w:r>
        <w:t xml:space="preserve"> od 16 bajtova. Zbir tih fiksnih dodataka iznosi 29 bajtova po poruci, nezavisno od veličine korisnog sadržaja. Naredna tabela razlaže taj dodatak.</w:t>
      </w:r>
    </w:p>
    <w:p>
      <w:pPr>
        <w:spacing w:before="80" w:after="80"/>
        <w:jc w:val="left"/>
        <w:keepNext/>
      </w:pPr>
      <w:r>
        <w:rPr>
          <w:b/>
          <w:i/>
          <w:sz w:val="19"/>
        </w:rPr>
        <w:t xml:space="preserve">Tabela 2. </w:t>
      </w:r>
      <w:r>
        <w:rPr>
          <w:i/>
          <w:sz w:val="19"/>
        </w:rPr>
        <w:t>Razlaganje fiksnog dodatka od 29 bajtova po TLS 1.2 zapisu (AES-GCM)</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Deo TLS zapisa</w:t>
            </w:r>
          </w:p>
        </w:tc>
        <w:tc>
          <w:tcPr>
            <w:tcW w:type="dxa" w:w="2929"/>
            <w:shd w:val="clear" w:color="auto" w:fill="1f3864"/>
            <w:vAlign w:val="center"/>
          </w:tcPr>
          <w:p>
            <w:pPr>
              <w:spacing w:after="40" w:before="40"/>
              <w:jc w:val="center"/>
            </w:pPr>
            <w:r>
              <w:rPr>
                <w:b/>
                <w:color w:val="FFFFFF"/>
                <w:sz w:val="19"/>
              </w:rPr>
              <w:t>Veličina</w:t>
            </w:r>
          </w:p>
        </w:tc>
        <w:tc>
          <w:tcPr>
            <w:tcW w:type="dxa" w:w="2929"/>
            <w:shd w:val="clear" w:color="auto" w:fill="1f3864"/>
            <w:vAlign w:val="center"/>
          </w:tcPr>
          <w:p>
            <w:pPr>
              <w:spacing w:after="40" w:before="40"/>
              <w:jc w:val="center"/>
            </w:pPr>
            <w:r>
              <w:rPr>
                <w:b/>
                <w:color w:val="FFFFFF"/>
                <w:sz w:val="19"/>
              </w:rPr>
              <w:t>Uloga</w:t>
            </w:r>
          </w:p>
        </w:tc>
      </w:tr>
      <w:tr>
        <w:tc>
          <w:tcPr>
            <w:tcW w:type="dxa" w:w="2929"/>
            <w:vAlign w:val="center"/>
          </w:tcPr>
          <w:p>
            <w:pPr>
              <w:spacing w:after="20" w:before="20"/>
            </w:pPr>
            <w:r>
              <w:rPr>
                <w:b/>
                <w:sz w:val="19"/>
              </w:rPr>
              <w:t>Zaglavlje zapisa</w:t>
            </w:r>
          </w:p>
        </w:tc>
        <w:tc>
          <w:tcPr>
            <w:tcW w:type="dxa" w:w="2929"/>
            <w:vAlign w:val="center"/>
          </w:tcPr>
          <w:p>
            <w:pPr>
              <w:spacing w:after="20" w:before="20"/>
            </w:pPr>
            <w:r>
              <w:rPr>
                <w:sz w:val="19"/>
              </w:rPr>
              <w:t>5 B</w:t>
            </w:r>
          </w:p>
        </w:tc>
        <w:tc>
          <w:tcPr>
            <w:tcW w:type="dxa" w:w="2929"/>
            <w:vAlign w:val="center"/>
          </w:tcPr>
          <w:p>
            <w:pPr>
              <w:spacing w:after="20" w:before="20"/>
            </w:pPr>
            <w:r>
              <w:rPr>
                <w:sz w:val="19"/>
              </w:rPr>
              <w:t>tip sadržaja, verzija protokola, dužina</w:t>
            </w:r>
          </w:p>
        </w:tc>
      </w:tr>
      <w:tr>
        <w:tc>
          <w:tcPr>
            <w:tcW w:type="dxa" w:w="2929"/>
            <w:vAlign w:val="center"/>
          </w:tcPr>
          <w:p>
            <w:pPr>
              <w:spacing w:after="20" w:before="20"/>
            </w:pPr>
            <w:r>
              <w:rPr>
                <w:b/>
                <w:sz w:val="19"/>
              </w:rPr>
              <w:t>Eksplicitni nonce</w:t>
            </w:r>
          </w:p>
        </w:tc>
        <w:tc>
          <w:tcPr>
            <w:tcW w:type="dxa" w:w="2929"/>
            <w:vAlign w:val="center"/>
          </w:tcPr>
          <w:p>
            <w:pPr>
              <w:spacing w:after="20" w:before="20"/>
            </w:pPr>
            <w:r>
              <w:rPr>
                <w:sz w:val="19"/>
              </w:rPr>
              <w:t>8 B</w:t>
            </w:r>
          </w:p>
        </w:tc>
        <w:tc>
          <w:tcPr>
            <w:tcW w:type="dxa" w:w="2929"/>
            <w:vAlign w:val="center"/>
          </w:tcPr>
          <w:p>
            <w:pPr>
              <w:spacing w:after="20" w:before="20"/>
            </w:pPr>
            <w:r>
              <w:rPr>
                <w:sz w:val="19"/>
              </w:rPr>
              <w:t>jedinstvena vrednost po zapisu za GCM</w:t>
            </w:r>
          </w:p>
        </w:tc>
      </w:tr>
      <w:tr>
        <w:tc>
          <w:tcPr>
            <w:tcW w:type="dxa" w:w="2929"/>
            <w:vAlign w:val="center"/>
          </w:tcPr>
          <w:p>
            <w:pPr>
              <w:spacing w:after="20" w:before="20"/>
            </w:pPr>
            <w:r>
              <w:rPr>
                <w:b/>
                <w:sz w:val="19"/>
              </w:rPr>
              <w:t>AEAD oznaka autentičnosti</w:t>
            </w:r>
          </w:p>
        </w:tc>
        <w:tc>
          <w:tcPr>
            <w:tcW w:type="dxa" w:w="2929"/>
            <w:vAlign w:val="center"/>
          </w:tcPr>
          <w:p>
            <w:pPr>
              <w:spacing w:after="20" w:before="20"/>
            </w:pPr>
            <w:r>
              <w:rPr>
                <w:sz w:val="19"/>
              </w:rPr>
              <w:t>16 B</w:t>
            </w:r>
          </w:p>
        </w:tc>
        <w:tc>
          <w:tcPr>
            <w:tcW w:type="dxa" w:w="2929"/>
            <w:vAlign w:val="center"/>
          </w:tcPr>
          <w:p>
            <w:pPr>
              <w:spacing w:after="20" w:before="20"/>
            </w:pPr>
            <w:r>
              <w:rPr>
                <w:sz w:val="19"/>
              </w:rPr>
              <w:t>provera integriteta (GCM tag)</w:t>
            </w:r>
          </w:p>
        </w:tc>
      </w:tr>
      <w:tr>
        <w:tc>
          <w:tcPr>
            <w:tcW w:type="dxa" w:w="2929"/>
            <w:vAlign w:val="center"/>
          </w:tcPr>
          <w:p>
            <w:pPr>
              <w:spacing w:after="20" w:before="20"/>
            </w:pPr>
            <w:r>
              <w:rPr>
                <w:b/>
                <w:sz w:val="19"/>
              </w:rPr>
              <w:t>Ukupno</w:t>
            </w:r>
          </w:p>
        </w:tc>
        <w:tc>
          <w:tcPr>
            <w:tcW w:type="dxa" w:w="2929"/>
            <w:vAlign w:val="center"/>
          </w:tcPr>
          <w:p>
            <w:pPr>
              <w:spacing w:after="20" w:before="20"/>
            </w:pPr>
            <w:r>
              <w:rPr>
                <w:sz w:val="19"/>
              </w:rPr>
              <w:t>29 B</w:t>
            </w:r>
          </w:p>
        </w:tc>
        <w:tc>
          <w:tcPr>
            <w:tcW w:type="dxa" w:w="2929"/>
            <w:vAlign w:val="center"/>
          </w:tcPr>
          <w:p>
            <w:pPr>
              <w:spacing w:after="20" w:before="20"/>
            </w:pPr>
            <w:r>
              <w:rPr>
                <w:sz w:val="19"/>
              </w:rPr>
              <w:t>fiksni dodatak, nezavisan od payload-a</w:t>
            </w:r>
          </w:p>
        </w:tc>
      </w:tr>
    </w:tbl>
    <w:p>
      <w:r>
        <w:t>Pošto je ovaj dodatak fiksan, njegov relativni udeo najveći je kod malih poruka, kakve su tipične u pametnom domu — kratke komande i sažeta senzorska očitavanja. Otuda naizgled skroman dodatak od 29 bajtova može, kod poruke sa svega nekoliko desetina bajtova korisnog sadržaja, više nego udvostručiti veličinu paketa na žici, što se u mernom delu i potvrđuje.</w:t>
      </w:r>
    </w:p>
    <w:p>
      <w:pPr>
        <w:pStyle w:val="Heading3"/>
        <w:keepNext/>
      </w:pPr>
      <w:r>
        <w:t>Infrastruktura javnih ključeva, sertifikati i lanac poverenja</w:t>
      </w:r>
    </w:p>
    <w:p>
      <w:r>
        <w:t xml:space="preserve">Provera identiteta servera u fazi rukovanja oslanja se na infrastrukturu javnih ključeva (engl. </w:t>
      </w:r>
      <w:r>
        <w:rPr>
          <w:i/>
        </w:rPr>
        <w:t>Public Key Infrastructure</w:t>
      </w:r>
      <w:r>
        <w:t xml:space="preserve">, PKI). Njeno središte je sertifikat — dokument koji povezuje identitet (na primer ime domaćina ili IP adresu servera) sa njegovim javnim ključem, a čiju verodostojnost jemči digitalni potpis nadležnog izdavaoca sertifikata (engl. </w:t>
      </w:r>
      <w:r>
        <w:rPr>
          <w:i/>
        </w:rPr>
        <w:t>Certificate Authority</w:t>
      </w:r>
      <w:r>
        <w:t xml:space="preserve">, CA). Sertifikat sadrži identitet na dva mesta: u starijem polju </w:t>
      </w:r>
      <w:r>
        <w:rPr>
          <w:i/>
        </w:rPr>
        <w:t>Common Name (CN)</w:t>
      </w:r>
      <w:r>
        <w:t xml:space="preserve"> i u savremenom polju </w:t>
      </w:r>
      <w:r>
        <w:rPr>
          <w:i/>
        </w:rPr>
        <w:t>Subject Alternative Name (SAN)</w:t>
      </w:r>
      <w:r>
        <w:t xml:space="preserve">, pri čemu moderne implementacije, uključujući mbedTLS, identitet proveravaju upravo prema polju </w:t>
      </w:r>
      <w:r>
        <w:rPr>
          <w:i/>
        </w:rPr>
        <w:t>SAN</w:t>
      </w:r>
      <w:r>
        <w:t>.</w:t>
      </w:r>
    </w:p>
    <w:p>
      <w:r>
        <w:t>Poverenje se uspostavlja lancem: klijent unapred poseduje javni sertifikat izdavaoca (</w:t>
      </w:r>
      <w:r>
        <w:rPr>
          <w:rFonts w:ascii="Consolas" w:hAnsi="Consolas"/>
          <w:sz w:val="21"/>
        </w:rPr>
        <w:t>ca.crt</w:t>
      </w:r>
      <w:r>
        <w:t xml:space="preserve">), a server pri povezivanju prilaže svoj sertifikat potpisan tim izdavaocem. Klijent proverava da li je serverski sertifikat zaista potpisan izdavaocem kome veruje i da li se identitet u sertifikatu poklapa sa adresom koju je pozvao. Budući da privatni ključ izdavaoca nikada ne napušta centralni računar, napadač koji bi pokušao da se lažno predstavi ne može da proizvede ispravno potpisan sertifikat, pa je napad tipa „čovek u sredini" onemogućen. U razmatranom sistemu koristi se privatni (lokalni) izdavalac umesto javnog, jer su svi učesnici pod kontrolom istog domaćinstva; puna verifikacija je nezavisno potvrđena, sa serverskim sertifikatom čije je ime </w:t>
      </w:r>
      <w:r>
        <w:rPr>
          <w:rFonts w:ascii="Consolas" w:hAnsi="Consolas"/>
          <w:sz w:val="21"/>
        </w:rPr>
        <w:t>CN=pihome.local</w:t>
      </w:r>
      <w:r>
        <w:t xml:space="preserve">, a adresa upisana u polje </w:t>
      </w:r>
      <w:r>
        <w:rPr>
          <w:i/>
        </w:rPr>
        <w:t>SAN</w:t>
      </w:r>
      <w:r>
        <w:t xml:space="preserve"> kao </w:t>
      </w:r>
      <w:r>
        <w:rPr>
          <w:rFonts w:ascii="Consolas" w:hAnsi="Consolas"/>
          <w:sz w:val="21"/>
        </w:rPr>
        <w:t>IP:192.168.0.10</w:t>
      </w:r>
      <w:r>
        <w:t>.</w:t>
      </w:r>
    </w:p>
    <w:p>
      <w:pPr>
        <w:pStyle w:val="Heading2"/>
        <w:keepNext/>
      </w:pPr>
      <w:r>
        <w:t>MQTTS — MQTT preko TLS-a</w:t>
      </w:r>
    </w:p>
    <w:p>
      <w:r>
        <w:rPr>
          <w:i/>
        </w:rPr>
        <w:t>MQTTS</w:t>
      </w:r>
      <w:r>
        <w:t xml:space="preserve"> nije poseban protokol, već </w:t>
      </w:r>
      <w:r>
        <w:rPr>
          <w:i/>
        </w:rPr>
        <w:t>MQTT</w:t>
      </w:r>
      <w:r>
        <w:t xml:space="preserve"> koji se prenosi unutar </w:t>
      </w:r>
      <w:r>
        <w:rPr>
          <w:i/>
        </w:rPr>
        <w:t>TLS</w:t>
      </w:r>
      <w:r>
        <w:t xml:space="preserve"> tunela. Semantika protokola — objave, pretplate, nivoi kvaliteta isporuke, zadržane poruke i testament — ostaje potpuno nepromenjena; jedina razlika je u tome što ceo tok bajtova pre slanja na mrežu prolazi kroz </w:t>
      </w:r>
      <w:r>
        <w:rPr>
          <w:i/>
        </w:rPr>
        <w:t>TLS</w:t>
      </w:r>
      <w:r>
        <w:t xml:space="preserve"> sloj koji ga šifruje, a po prijemu dešifruje. Zbog toga se aplikaciona logika čvora ne menja pri prelasku sa nezaštićenog na zaštićeni kanal.</w:t>
      </w:r>
    </w:p>
    <w:p>
      <w:r>
        <w:t xml:space="preserve">Po ustaljenoj konvenciji, nešifrovani </w:t>
      </w:r>
      <w:r>
        <w:rPr>
          <w:i/>
        </w:rPr>
        <w:t>MQTT</w:t>
      </w:r>
      <w:r>
        <w:t xml:space="preserve"> sluša na portu 1883, dok </w:t>
      </w:r>
      <w:r>
        <w:rPr>
          <w:i/>
        </w:rPr>
        <w:t>MQTTS</w:t>
      </w:r>
      <w:r>
        <w:t xml:space="preserve"> koristi port 8883. U firmveru čvora </w:t>
      </w:r>
      <w:r>
        <w:rPr>
          <w:i/>
        </w:rPr>
        <w:t>TLS</w:t>
      </w:r>
      <w:r>
        <w:t xml:space="preserve"> se ne aktivira pukim izborom porta, već šemom adrese </w:t>
      </w:r>
      <w:r>
        <w:rPr>
          <w:rFonts w:ascii="Consolas" w:hAnsi="Consolas"/>
          <w:sz w:val="21"/>
        </w:rPr>
        <w:t>mqtts://</w:t>
      </w:r>
      <w:r>
        <w:t xml:space="preserve"> (naspram </w:t>
      </w:r>
      <w:r>
        <w:rPr>
          <w:rFonts w:ascii="Consolas" w:hAnsi="Consolas"/>
          <w:sz w:val="21"/>
        </w:rPr>
        <w:t>mqtt://</w:t>
      </w:r>
      <w:r>
        <w:t xml:space="preserve"> za nešifrovanu vezu), uz koju se prilaže ugrađeni sertifikat izdavaoca za proveru servera. Ono što </w:t>
      </w:r>
      <w:r>
        <w:rPr>
          <w:i/>
        </w:rPr>
        <w:t>MQTTS</w:t>
      </w:r>
      <w:r>
        <w:t xml:space="preserve"> konkretno dodaje u odnosu na osnovni </w:t>
      </w:r>
      <w:r>
        <w:rPr>
          <w:i/>
        </w:rPr>
        <w:t>MQTT</w:t>
      </w:r>
      <w:r>
        <w:t xml:space="preserve"> svodi se na dva već objašnjena troška: jednokratno </w:t>
      </w:r>
      <w:r>
        <w:rPr>
          <w:i/>
        </w:rPr>
        <w:t>TLS</w:t>
      </w:r>
      <w:r>
        <w:t xml:space="preserve"> rukovanje pri svakom povezivanju i fiksni dodatak od 29 bajtova po svakoj poruci uz simetrično šifrovanje njenog sadržaja. Prvi trošak opterećuje uspostavljanje veze, a drugi svaku pojedinačnu razmenu — i upravo njihovo razdvajanje čini okosnicu merne analize koja sledi.</w:t>
      </w:r>
    </w:p>
    <w:p>
      <w:pPr>
        <w:pStyle w:val="Heading2"/>
        <w:keepNext/>
      </w:pPr>
      <w:r>
        <w:t>Home Assistant i MQTT Discovery</w:t>
      </w:r>
    </w:p>
    <w:p>
      <w:r>
        <w:rPr>
          <w:i/>
        </w:rPr>
        <w:t>Home Assistant</w:t>
      </w:r>
      <w:r>
        <w:t xml:space="preserve"> je otvorena platforma za automatizaciju pametnog doma koja objedinjuje uređaje različitih proizvođača i protokola, predstavlja ih kao entitete i pruža jedinstven korisnički interfejs i mehanizam za automatizaciju. U razmatranom sistemu </w:t>
      </w:r>
      <w:r>
        <w:rPr>
          <w:i/>
        </w:rPr>
        <w:t>Home Assistant</w:t>
      </w:r>
      <w:r>
        <w:t xml:space="preserve"> je centralni kontroler i istovremeno klijent istog </w:t>
      </w:r>
      <w:r>
        <w:rPr>
          <w:i/>
        </w:rPr>
        <w:t>MQTT</w:t>
      </w:r>
      <w:r>
        <w:t xml:space="preserve"> brokera preko kojeg komuniciraju i čvorovi.</w:t>
      </w:r>
    </w:p>
    <w:p>
      <w:r>
        <w:t xml:space="preserve">Da se svaki čvor ne bi morao ručno konfigurisati u kontroleru, koristi se mehanizam automatskog otkrivanja </w:t>
      </w:r>
      <w:r>
        <w:rPr>
          <w:i/>
        </w:rPr>
        <w:t>MQTT Discovery</w:t>
      </w:r>
      <w:r>
        <w:t xml:space="preserve">. Čvor pri povezivanju objavljuje zadržanu konfiguracionu poruku na temi oblika </w:t>
      </w:r>
      <w:r>
        <w:rPr>
          <w:rFonts w:ascii="Consolas" w:hAnsi="Consolas"/>
          <w:sz w:val="21"/>
        </w:rPr>
        <w:t>homeassistant/&lt;component&gt;/&lt;board&gt;/&lt;object_id&gt;/config</w:t>
      </w:r>
      <w:r>
        <w:t xml:space="preserve">, koju </w:t>
      </w:r>
      <w:r>
        <w:rPr>
          <w:i/>
        </w:rPr>
        <w:t>Home Assistant</w:t>
      </w:r>
      <w:r>
        <w:t xml:space="preserve"> nadgleda; iz te poruke platforma automatski stvara odgovarajući entitet — prekidač, senzor ili sličan — bez ijedne izmene na strani kontrolera. Pošto je poruka zadržana, entitet se pojavljuje i posle ponovnog pokretanja kontrolera, čim se on pretplati.</w:t>
      </w:r>
    </w:p>
    <w:p>
      <w:r>
        <w:t xml:space="preserve">Konfiguraciona poruka objedinjuje entitet sa nadređenim uređajem i sa temom dostupnosti, pa kontroler zna kada je čvor </w:t>
      </w:r>
      <w:r>
        <w:rPr>
          <w:rFonts w:ascii="Consolas" w:hAnsi="Consolas"/>
          <w:sz w:val="21"/>
        </w:rPr>
        <w:t>online</w:t>
      </w:r>
      <w:r>
        <w:t xml:space="preserve">, a kada </w:t>
      </w:r>
      <w:r>
        <w:rPr>
          <w:rFonts w:ascii="Consolas" w:hAnsi="Consolas"/>
          <w:sz w:val="21"/>
        </w:rPr>
        <w:t>offline</w:t>
      </w:r>
      <w:r>
        <w:t xml:space="preserve">, kao i koju verziju firmvera nosi (podatak koji se uzima iz deskriptora aplikacije). Ovaj mehanizam objašnjava zašto se čvorovi u sistemu „sami pojavljuju" i kako se, uz zadržane poruke i testament opisane ranije, postiže dosledno i samoobnavljajuće stanje sistema pri svakom povezivanju — nezavisno od toga da li čvor komunicira nešifrovanim kanalom ili preko </w:t>
      </w:r>
      <w:r>
        <w:rPr>
          <w:i/>
        </w:rPr>
        <w:t>MQTTS</w:t>
      </w:r>
      <w:r>
        <w:t>-a.</w:t>
      </w:r>
    </w:p>
    <w:p>
      <w:r>
        <w:br w:type="page"/>
      </w:r>
    </w:p>
    <w:p>
      <w:pPr>
        <w:pStyle w:val="Heading1"/>
        <w:keepNext/>
      </w:pPr>
      <w:r>
        <w:t>Opis sistema</w:t>
      </w:r>
    </w:p>
    <w:p>
      <w:r>
        <w:rPr>
          <w:i/>
          <w:sz w:val="19"/>
        </w:rPr>
        <w:t>Arhitektura sistema na najvišem nivou apstrakcije:</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758"/>
        <w:gridCol w:w="1758"/>
        <w:gridCol w:w="1758"/>
        <w:gridCol w:w="1758"/>
        <w:gridCol w:w="1758"/>
      </w:tblGrid>
      <w:tr>
        <w:tc>
          <w:tcPr>
            <w:tcW w:type="dxa" w:w="1758"/>
            <w:shd w:val="clear" w:color="auto" w:fill="2a78d6"/>
            <w:vAlign w:val="center"/>
          </w:tcPr>
          <w:p>
            <w:pPr>
              <w:spacing w:after="40" w:before="40"/>
              <w:jc w:val="center"/>
            </w:pPr>
            <w:r>
              <w:rPr>
                <w:b/>
                <w:color w:val="FFFFFF"/>
                <w:sz w:val="19"/>
              </w:rPr>
              <w:t>esp1_lights</w:t>
              <w:br/>
            </w:r>
            <w:r>
              <w:rPr>
                <w:b/>
                <w:color w:val="FFFFFF"/>
                <w:sz w:val="19"/>
              </w:rPr>
              <w:t>(plain, 1883)</w:t>
              <w:br/>
            </w:r>
            <w:r>
              <w:rPr>
                <w:b/>
                <w:color w:val="FFFFFF"/>
                <w:sz w:val="19"/>
              </w:rPr>
              <w:t>ESP32 WROOM</w:t>
              <w:br/>
            </w:r>
          </w:p>
        </w:tc>
        <w:tc>
          <w:tcPr>
            <w:tcW w:type="dxa" w:w="1758"/>
            <w:vAlign w:val="center"/>
          </w:tcPr>
          <w:p>
            <w:pPr>
              <w:jc w:val="center"/>
            </w:pPr>
            <w:r>
              <w:rPr>
                <w:b/>
                <w:sz w:val="32"/>
              </w:rPr>
              <w:t>→</w:t>
            </w:r>
          </w:p>
        </w:tc>
        <w:tc>
          <w:tcPr>
            <w:tcW w:type="dxa" w:w="1758"/>
            <w:shd w:val="clear" w:color="auto" w:fill="1f3864"/>
            <w:vAlign w:val="center"/>
          </w:tcPr>
          <w:p>
            <w:pPr>
              <w:spacing w:after="40" w:before="40"/>
              <w:jc w:val="center"/>
            </w:pPr>
            <w:r>
              <w:rPr>
                <w:b/>
                <w:color w:val="FFFFFF"/>
                <w:sz w:val="19"/>
              </w:rPr>
              <w:t>Mosquitto broker</w:t>
              <w:br/>
            </w:r>
            <w:r>
              <w:rPr>
                <w:b/>
                <w:color w:val="FFFFFF"/>
                <w:sz w:val="19"/>
              </w:rPr>
              <w:t>(1883 / 8883)</w:t>
              <w:br/>
            </w:r>
            <w:r>
              <w:rPr>
                <w:b/>
                <w:color w:val="FFFFFF"/>
                <w:sz w:val="19"/>
              </w:rPr>
              <w:t>Raspberry Pi 4</w:t>
              <w:br/>
            </w:r>
          </w:p>
        </w:tc>
        <w:tc>
          <w:tcPr>
            <w:tcW w:type="dxa" w:w="1758"/>
            <w:vAlign w:val="center"/>
          </w:tcPr>
          <w:p>
            <w:pPr>
              <w:jc w:val="center"/>
            </w:pPr>
            <w:r>
              <w:rPr>
                <w:b/>
                <w:sz w:val="32"/>
              </w:rPr>
              <w:t>→</w:t>
            </w:r>
          </w:p>
        </w:tc>
        <w:tc>
          <w:tcPr>
            <w:tcW w:type="dxa" w:w="1758"/>
            <w:shd w:val="clear" w:color="auto" w:fill="3fa34d"/>
            <w:vAlign w:val="center"/>
          </w:tcPr>
          <w:p>
            <w:pPr>
              <w:spacing w:after="40" w:before="40"/>
              <w:jc w:val="center"/>
            </w:pPr>
            <w:r>
              <w:rPr>
                <w:b/>
                <w:color w:val="FFFFFF"/>
                <w:sz w:val="19"/>
              </w:rPr>
              <w:t>Home Assistant</w:t>
              <w:br/>
            </w:r>
            <w:r>
              <w:rPr>
                <w:b/>
                <w:color w:val="FFFFFF"/>
                <w:sz w:val="19"/>
              </w:rPr>
              <w:t>(MQTT Discovery)</w:t>
              <w:br/>
            </w:r>
            <w:r>
              <w:rPr>
                <w:b/>
                <w:color w:val="FFFFFF"/>
                <w:sz w:val="19"/>
              </w:rPr>
              <w:t>HAOS</w:t>
              <w:br/>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758"/>
        <w:gridCol w:w="1758"/>
        <w:gridCol w:w="1758"/>
        <w:gridCol w:w="1758"/>
        <w:gridCol w:w="1758"/>
      </w:tblGrid>
      <w:tr>
        <w:tc>
          <w:tcPr>
            <w:tcW w:type="dxa" w:w="1758"/>
            <w:shd w:val="clear" w:color="auto" w:fill="eb6834"/>
            <w:vAlign w:val="center"/>
          </w:tcPr>
          <w:p>
            <w:pPr>
              <w:spacing w:after="40" w:before="40"/>
              <w:jc w:val="center"/>
            </w:pPr>
            <w:r>
              <w:rPr>
                <w:b/>
                <w:color w:val="FFFFFF"/>
                <w:sz w:val="19"/>
              </w:rPr>
              <w:t>esp2_temperature</w:t>
              <w:br/>
            </w:r>
            <w:r>
              <w:rPr>
                <w:b/>
                <w:color w:val="FFFFFF"/>
                <w:sz w:val="19"/>
              </w:rPr>
              <w:t>(MQTTS, 8883)</w:t>
              <w:br/>
            </w:r>
            <w:r>
              <w:rPr>
                <w:b/>
                <w:color w:val="FFFFFF"/>
                <w:sz w:val="19"/>
              </w:rPr>
              <w:t>ESP32 WROVER + LCD</w:t>
              <w:br/>
            </w:r>
          </w:p>
        </w:tc>
        <w:tc>
          <w:tcPr>
            <w:tcW w:type="dxa" w:w="1758"/>
          </w:tcPr>
          <w:p>
            <w:pPr>
              <w:jc w:val="center"/>
            </w:pPr>
            <w:r>
              <w:rPr>
                <w:b/>
                <w:sz w:val="32"/>
              </w:rPr>
              <w:t>↗</w:t>
            </w:r>
          </w:p>
        </w:tc>
        <w:tc>
          <w:tcPr>
            <w:tcW w:type="dxa" w:w="1758"/>
          </w:tcPr>
          <w:p/>
        </w:tc>
        <w:tc>
          <w:tcPr>
            <w:tcW w:type="dxa" w:w="1758"/>
          </w:tcPr>
          <w:p/>
        </w:tc>
        <w:tc>
          <w:tcPr>
            <w:tcW w:type="dxa" w:w="1758"/>
          </w:tcPr>
          <w:p/>
        </w:tc>
      </w:tr>
    </w:tbl>
    <w:p>
      <w:pPr>
        <w:spacing w:before="80" w:after="80"/>
        <w:jc w:val="center"/>
        <w:keepNext/>
      </w:pPr>
      <w:r>
        <w:rPr>
          <w:b/>
          <w:i/>
          <w:sz w:val="19"/>
        </w:rPr>
        <w:t xml:space="preserve">Slika 1. </w:t>
      </w:r>
      <w:r>
        <w:rPr>
          <w:i/>
          <w:sz w:val="19"/>
        </w:rPr>
        <w:t>Topologija sistema: dva ESP32 čvora, MQTT broker i Home Assistant.</w:t>
      </w:r>
    </w:p>
    <w:p>
      <w:r>
        <w:t xml:space="preserve">Ovo poglavlje opisuje sistem na nivou arhitekture: kako su čvorovi, broker poruka i centralni kontroler pametne kuće međusobno povezani i kako podaci teku kroz sistem. Detalji pojedinačnih softverskih komponenti i firmverskih modula razmatraju se u narednom poglavlju; ovde je fokus na topologiji, ulogama čvorova, komunikacionim obrascima i bezbednosnom modelu koji zajedno čine okvir za mernu studiju enkriptovanog </w:t>
      </w:r>
      <w:r>
        <w:rPr>
          <w:i/>
        </w:rPr>
        <w:t>MQTT</w:t>
      </w:r>
      <w:r>
        <w:t xml:space="preserve"> protokola.</w:t>
      </w:r>
    </w:p>
    <w:p>
      <w:pPr>
        <w:pStyle w:val="Heading2"/>
        <w:keepNext/>
      </w:pPr>
      <w:r>
        <w:t>Arhitektura sistema</w:t>
      </w:r>
    </w:p>
    <w:p>
      <w:r>
        <w:t xml:space="preserve">Sistem predstavlja demonstracioni model pametne kuće izgrađen oko centralnog kontrolera </w:t>
      </w:r>
      <w:r>
        <w:rPr>
          <w:i/>
        </w:rPr>
        <w:t>Home Assistant</w:t>
      </w:r>
      <w:r>
        <w:t xml:space="preserve">, koji radi na jednopločnom računaru </w:t>
      </w:r>
      <w:r>
        <w:rPr>
          <w:i/>
        </w:rPr>
        <w:t>Raspberry Pi 4 Model B</w:t>
      </w:r>
      <w:r>
        <w:t xml:space="preserve">, i dva mikrokontrolerska čvora zasnovana na </w:t>
      </w:r>
      <w:r>
        <w:rPr>
          <w:i/>
        </w:rPr>
        <w:t>ESP32</w:t>
      </w:r>
      <w:r>
        <w:t xml:space="preserve"> koji sa njim komuniciraju isključivo preko protokola </w:t>
      </w:r>
      <w:r>
        <w:rPr>
          <w:i/>
        </w:rPr>
        <w:t>Message Queuing Telemetry Transport (MQTT)</w:t>
      </w:r>
      <w:r>
        <w:t>. Mreža je u potpunosti lokalna i ne oslanja se na spoljne (cloud) servise, čime se eliminišu promenljivi činioci van kontrole mernog postupka i obezbeđuje ponovljivost merenja.</w:t>
      </w:r>
    </w:p>
    <w:p>
      <w:r>
        <w:t xml:space="preserve">Centralni čvor objedinjuje dve saradničke usluge. Prva je </w:t>
      </w:r>
      <w:r>
        <w:rPr>
          <w:i/>
        </w:rPr>
        <w:t>Eclipse Mosquitto</w:t>
      </w:r>
      <w:r>
        <w:t xml:space="preserve"> broker poruka (verzija 2.1.2, isporučen kao Home Assistant OS dodatak „Mosquitto broker" 7.1.0), koji posreduje u svakoj razmeni poruka. Druga je sam </w:t>
      </w:r>
      <w:r>
        <w:rPr>
          <w:i/>
        </w:rPr>
        <w:t>Home Assistant</w:t>
      </w:r>
      <w:r>
        <w:t xml:space="preserve"> (jezgro 2026.7.4 na operativnom sistemu Home Assistant OS 18.2), koji čvorove predstavlja kao entitete i pruža korisnički interfejs. Broker je čvorište komunikacije: svaka poruka između čvorova i kontrolera prolazi kroz njega, a </w:t>
      </w:r>
      <w:r>
        <w:rPr>
          <w:i/>
        </w:rPr>
        <w:t>MQTT</w:t>
      </w:r>
      <w:r>
        <w:t xml:space="preserve"> čini okosnicu sistema po obrascu objavi–pretplati (engl. publish/subscribe), koji učesnike labavo spreže i vremenski razdvaja.</w:t>
      </w:r>
    </w:p>
    <w:p>
      <w:r>
        <w:t xml:space="preserve">Dva </w:t>
      </w:r>
      <w:r>
        <w:rPr>
          <w:i/>
        </w:rPr>
        <w:t>ESP32</w:t>
      </w:r>
      <w:r>
        <w:t xml:space="preserve"> čvora su </w:t>
      </w:r>
      <w:r>
        <w:rPr>
          <w:i/>
        </w:rPr>
        <w:t>MQTT</w:t>
      </w:r>
      <w:r>
        <w:t xml:space="preserve"> klijenti. Svaki se povezuje na Wi-Fi mrežu u stanicom režimu (engl. station, STA), uspostavlja </w:t>
      </w:r>
      <w:r>
        <w:rPr>
          <w:i/>
        </w:rPr>
        <w:t>MQTT</w:t>
      </w:r>
      <w:r>
        <w:t xml:space="preserve"> sesiju sa brokerom i objavljuje svoje stanje i konfiguraciju. Home Assistant ih automatski otkriva mehanizmom </w:t>
      </w:r>
      <w:r>
        <w:rPr>
          <w:i/>
        </w:rPr>
        <w:t>MQTT Discovery</w:t>
      </w:r>
      <w:r>
        <w:t xml:space="preserve"> i za njih kreira odgovarajuće entitete. Čvorovi međusobno ne komuniciraju direktno — sva razmena ide preko brokera, čime je sistem centralizovan i lako proširiv.</w:t>
      </w:r>
    </w:p>
    <w:tbl>
      <w:tblPr>
        <w:tblStyle w:val="TableGrid"/>
        <w:tblW w:type="auto" w:w="0"/>
        <w:jc w:val="center"/>
        <w:tblLayout w:type="fixed"/>
        <w:tblLook w:firstColumn="1" w:firstRow="1" w:lastColumn="0" w:lastRow="0" w:noHBand="0" w:noVBand="1" w:val="04A0"/>
        <w:tblLayout w:type="fixed"/>
        <w:tblW w:w="9072" w:type="dxa"/>
      </w:tblPr>
      <w:tblGrid>
        <w:gridCol w:w="8788"/>
      </w:tblGrid>
      <w:tr>
        <w:tc>
          <w:tcPr>
            <w:tcW w:type="dxa" w:w="8788"/>
            <w:shd w:val="clear" w:color="auto" w:fill="f2f1ec"/>
          </w:tcPr>
          <w:p>
            <w:pPr>
              <w:spacing w:after="40" w:before="40"/>
            </w:pPr>
            <w:r>
              <w:rPr>
                <w:rFonts w:ascii="Consolas" w:hAnsi="Consolas"/>
                <w:sz w:val="18"/>
              </w:rPr>
              <w:t xml:space="preserve">         +--------------------------------+</w:t>
              <w:br/>
            </w:r>
            <w:r>
              <w:rPr>
                <w:rFonts w:ascii="Consolas" w:hAnsi="Consolas"/>
                <w:sz w:val="18"/>
              </w:rPr>
              <w:t xml:space="preserve">         |  Raspberry Pi 4 Model B        |</w:t>
              <w:br/>
            </w:r>
            <w:r>
              <w:rPr>
                <w:rFonts w:ascii="Consolas" w:hAnsi="Consolas"/>
                <w:sz w:val="18"/>
              </w:rPr>
              <w:t xml:space="preserve">         |  Mosquitto broker  :1883 / :8883|</w:t>
              <w:br/>
            </w:r>
            <w:r>
              <w:rPr>
                <w:rFonts w:ascii="Consolas" w:hAnsi="Consolas"/>
                <w:sz w:val="18"/>
              </w:rPr>
              <w:t xml:space="preserve">         |  Home Assistant    (:1883)     |</w:t>
              <w:br/>
            </w:r>
            <w:r>
              <w:rPr>
                <w:rFonts w:ascii="Consolas" w:hAnsi="Consolas"/>
                <w:sz w:val="18"/>
              </w:rPr>
              <w:t xml:space="preserve">         +---------------+----------------+</w:t>
              <w:br/>
            </w:r>
            <w:r>
              <w:rPr>
                <w:rFonts w:ascii="Consolas" w:hAnsi="Consolas"/>
                <w:sz w:val="18"/>
              </w:rPr>
              <w:t xml:space="preserve">                         |  MQTT (okosnica)</w:t>
              <w:br/>
            </w:r>
            <w:r>
              <w:rPr>
                <w:rFonts w:ascii="Consolas" w:hAnsi="Consolas"/>
                <w:sz w:val="18"/>
              </w:rPr>
              <w:t xml:space="preserve">           +-------------+--------------+</w:t>
              <w:br/>
            </w:r>
            <w:r>
              <w:rPr>
                <w:rFonts w:ascii="Consolas" w:hAnsi="Consolas"/>
                <w:sz w:val="18"/>
              </w:rPr>
              <w:t xml:space="preserve">           |                            |</w:t>
              <w:br/>
            </w:r>
            <w:r>
              <w:rPr>
                <w:rFonts w:ascii="Consolas" w:hAnsi="Consolas"/>
                <w:sz w:val="18"/>
              </w:rPr>
              <w:t xml:space="preserve">   plain MQTT :1883             MQTTS :8883 (TLS 1.2)</w:t>
              <w:br/>
            </w:r>
            <w:r>
              <w:rPr>
                <w:rFonts w:ascii="Consolas" w:hAnsi="Consolas"/>
                <w:sz w:val="18"/>
              </w:rPr>
              <w:t xml:space="preserve">           |                            |</w:t>
              <w:br/>
            </w:r>
            <w:r>
              <w:rPr>
                <w:rFonts w:ascii="Consolas" w:hAnsi="Consolas"/>
                <w:sz w:val="18"/>
              </w:rPr>
              <w:t xml:space="preserve">  +--------v--------+          +--------v---------+</w:t>
              <w:br/>
            </w:r>
            <w:r>
              <w:rPr>
                <w:rFonts w:ascii="Consolas" w:hAnsi="Consolas"/>
                <w:sz w:val="18"/>
              </w:rPr>
              <w:t xml:space="preserve">  | ESP32 #1  esp1  |          | ESP32 #2  esp2   |</w:t>
              <w:br/>
            </w:r>
            <w:r>
              <w:rPr>
                <w:rFonts w:ascii="Consolas" w:hAnsi="Consolas"/>
                <w:sz w:val="18"/>
              </w:rPr>
              <w:t xml:space="preserve">  | svetla (releji) |          | temperature      |</w:t>
              <w:br/>
            </w:r>
            <w:r>
              <w:rPr>
                <w:rFonts w:ascii="Consolas" w:hAnsi="Consolas"/>
                <w:sz w:val="18"/>
              </w:rPr>
              <w:t xml:space="preserve">  | BASELINE        |          | PREDMET ANALIZE  |</w:t>
              <w:br/>
            </w:r>
            <w:r>
              <w:rPr>
                <w:rFonts w:ascii="Consolas" w:hAnsi="Consolas"/>
                <w:sz w:val="18"/>
              </w:rPr>
              <w:t xml:space="preserve">  +-----------------+          +------------------+</w:t>
            </w:r>
          </w:p>
        </w:tc>
      </w:tr>
    </w:tbl>
    <w:p>
      <w:r>
        <w:t xml:space="preserve">Dva čvora se namerno razlikuju samo po transportu kojim komuniciraju sa brokerom. Prvi čvor koristi običan </w:t>
      </w:r>
      <w:r>
        <w:rPr>
          <w:i/>
        </w:rPr>
        <w:t>MQTT</w:t>
      </w:r>
      <w:r>
        <w:t xml:space="preserve"> na portu 1883 i predstavlja referentnu tačku (engl. baseline), dok drugi koristi </w:t>
      </w:r>
      <w:r>
        <w:rPr>
          <w:i/>
        </w:rPr>
        <w:t>MQTTS</w:t>
      </w:r>
      <w:r>
        <w:t xml:space="preserve"> — </w:t>
      </w:r>
      <w:r>
        <w:rPr>
          <w:i/>
        </w:rPr>
        <w:t>MQTT</w:t>
      </w:r>
      <w:r>
        <w:t xml:space="preserve"> preko sloja </w:t>
      </w:r>
      <w:r>
        <w:rPr>
          <w:i/>
        </w:rPr>
        <w:t>Transport Layer Security (TLS)</w:t>
      </w:r>
      <w:r>
        <w:t xml:space="preserve"> — na portu 8883 i predstavlja predmet analize opterećenja. Oba čvora izvršavaju identičan deljeni kod, pa je </w:t>
      </w:r>
      <w:r>
        <w:rPr>
          <w:i/>
        </w:rPr>
        <w:t>TLS</w:t>
      </w:r>
      <w:r>
        <w:t xml:space="preserve"> jedina razlika između njih; ta okolnost čini poređenje poštenim jer se razlika u izmerenim veličinama može pripisati isključivo </w:t>
      </w:r>
      <w:r>
        <w:rPr>
          <w:i/>
        </w:rPr>
        <w:t>TLS</w:t>
      </w:r>
      <w:r>
        <w:t xml:space="preserve"> sloju.</w:t>
      </w:r>
    </w:p>
    <w:p>
      <w:pPr>
        <w:pStyle w:val="Heading3"/>
        <w:keepNext/>
      </w:pPr>
      <w:r>
        <w:t>Softverski stek</w:t>
      </w:r>
    </w:p>
    <w:p>
      <w:r>
        <w:t>Sistem je izgrađen od otvorenih, široko korišćenih komponenti, raspoređenih u jasno razdvojene slojeve. Naredna tabela daje pregled steka na nivou celog sistema; verzije i detalji instrumentacije preciziraju se u poglavlju o okruženju merenja.</w:t>
      </w:r>
    </w:p>
    <w:p>
      <w:pPr>
        <w:spacing w:before="80" w:after="80"/>
        <w:jc w:val="left"/>
        <w:keepNext/>
      </w:pPr>
      <w:r>
        <w:rPr>
          <w:b/>
          <w:i/>
          <w:sz w:val="19"/>
        </w:rPr>
        <w:t xml:space="preserve">Tabela 3. </w:t>
      </w:r>
      <w:r>
        <w:rPr>
          <w:i/>
          <w:sz w:val="19"/>
        </w:rPr>
        <w:t>Softverski stek sistema po slojevima</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Sloj</w:t>
            </w:r>
          </w:p>
        </w:tc>
        <w:tc>
          <w:tcPr>
            <w:tcW w:type="dxa" w:w="2929"/>
            <w:shd w:val="clear" w:color="auto" w:fill="1f3864"/>
            <w:vAlign w:val="center"/>
          </w:tcPr>
          <w:p>
            <w:pPr>
              <w:spacing w:after="40" w:before="40"/>
              <w:jc w:val="center"/>
            </w:pPr>
            <w:r>
              <w:rPr>
                <w:b/>
                <w:color w:val="FFFFFF"/>
                <w:sz w:val="19"/>
              </w:rPr>
              <w:t>Tehnologija</w:t>
            </w:r>
          </w:p>
        </w:tc>
        <w:tc>
          <w:tcPr>
            <w:tcW w:type="dxa" w:w="2929"/>
            <w:shd w:val="clear" w:color="auto" w:fill="1f3864"/>
            <w:vAlign w:val="center"/>
          </w:tcPr>
          <w:p>
            <w:pPr>
              <w:spacing w:after="40" w:before="40"/>
              <w:jc w:val="center"/>
            </w:pPr>
            <w:r>
              <w:rPr>
                <w:b/>
                <w:color w:val="FFFFFF"/>
                <w:sz w:val="19"/>
              </w:rPr>
              <w:t>Uloga</w:t>
            </w:r>
          </w:p>
        </w:tc>
      </w:tr>
      <w:tr>
        <w:tc>
          <w:tcPr>
            <w:tcW w:type="dxa" w:w="2929"/>
            <w:vAlign w:val="center"/>
          </w:tcPr>
          <w:p>
            <w:pPr>
              <w:spacing w:after="20" w:before="20"/>
            </w:pPr>
            <w:r>
              <w:rPr>
                <w:b/>
                <w:sz w:val="19"/>
              </w:rPr>
              <w:t>Kontroler i interfejs</w:t>
            </w:r>
          </w:p>
        </w:tc>
        <w:tc>
          <w:tcPr>
            <w:tcW w:type="dxa" w:w="2929"/>
            <w:vAlign w:val="center"/>
          </w:tcPr>
          <w:p>
            <w:pPr>
              <w:spacing w:after="20" w:before="20"/>
            </w:pPr>
            <w:r>
              <w:rPr>
                <w:sz w:val="19"/>
              </w:rPr>
              <w:t>Home Assistant (jezgro 2026.7.4)</w:t>
            </w:r>
          </w:p>
        </w:tc>
        <w:tc>
          <w:tcPr>
            <w:tcW w:type="dxa" w:w="2929"/>
            <w:vAlign w:val="center"/>
          </w:tcPr>
          <w:p>
            <w:pPr>
              <w:spacing w:after="20" w:before="20"/>
            </w:pPr>
            <w:r>
              <w:rPr>
                <w:sz w:val="19"/>
              </w:rPr>
              <w:t>Centralna platforma pametne kuće; entiteti, automatizacija i korisnički interfejs</w:t>
            </w:r>
          </w:p>
        </w:tc>
      </w:tr>
      <w:tr>
        <w:tc>
          <w:tcPr>
            <w:tcW w:type="dxa" w:w="2929"/>
            <w:vAlign w:val="center"/>
          </w:tcPr>
          <w:p>
            <w:pPr>
              <w:spacing w:after="20" w:before="20"/>
            </w:pPr>
            <w:r>
              <w:rPr>
                <w:b/>
                <w:sz w:val="19"/>
              </w:rPr>
              <w:t>Broker poruka</w:t>
            </w:r>
          </w:p>
        </w:tc>
        <w:tc>
          <w:tcPr>
            <w:tcW w:type="dxa" w:w="2929"/>
            <w:vAlign w:val="center"/>
          </w:tcPr>
          <w:p>
            <w:pPr>
              <w:spacing w:after="20" w:before="20"/>
            </w:pPr>
            <w:r>
              <w:rPr>
                <w:sz w:val="19"/>
              </w:rPr>
              <w:t>Eclipse Mosquitto 2.1.2</w:t>
            </w:r>
          </w:p>
        </w:tc>
        <w:tc>
          <w:tcPr>
            <w:tcW w:type="dxa" w:w="2929"/>
            <w:vAlign w:val="center"/>
          </w:tcPr>
          <w:p>
            <w:pPr>
              <w:spacing w:after="20" w:before="20"/>
            </w:pPr>
            <w:r>
              <w:rPr>
                <w:sz w:val="19"/>
              </w:rPr>
              <w:t>Posredovanje MQTT saobraćaja; dva listenera (1883 plain i 8883 TLS)</w:t>
            </w:r>
          </w:p>
        </w:tc>
      </w:tr>
      <w:tr>
        <w:tc>
          <w:tcPr>
            <w:tcW w:type="dxa" w:w="2929"/>
            <w:vAlign w:val="center"/>
          </w:tcPr>
          <w:p>
            <w:pPr>
              <w:spacing w:after="20" w:before="20"/>
            </w:pPr>
            <w:r>
              <w:rPr>
                <w:b/>
                <w:sz w:val="19"/>
              </w:rPr>
              <w:t>Firmver čvorova</w:t>
            </w:r>
          </w:p>
        </w:tc>
        <w:tc>
          <w:tcPr>
            <w:tcW w:type="dxa" w:w="2929"/>
            <w:vAlign w:val="center"/>
          </w:tcPr>
          <w:p>
            <w:pPr>
              <w:spacing w:after="20" w:before="20"/>
            </w:pPr>
            <w:r>
              <w:rPr>
                <w:sz w:val="19"/>
              </w:rPr>
              <w:t>čist C na ESP-IDF 5.5.0</w:t>
            </w:r>
          </w:p>
        </w:tc>
        <w:tc>
          <w:tcPr>
            <w:tcW w:type="dxa" w:w="2929"/>
            <w:vAlign w:val="center"/>
          </w:tcPr>
          <w:p>
            <w:pPr>
              <w:spacing w:after="20" w:before="20"/>
            </w:pPr>
            <w:r>
              <w:rPr>
                <w:sz w:val="19"/>
              </w:rPr>
              <w:t>Mrežni stek, MQTT klijent i aplikaciona logika na ESP32</w:t>
            </w:r>
          </w:p>
        </w:tc>
      </w:tr>
      <w:tr>
        <w:tc>
          <w:tcPr>
            <w:tcW w:type="dxa" w:w="2929"/>
            <w:vAlign w:val="center"/>
          </w:tcPr>
          <w:p>
            <w:pPr>
              <w:spacing w:after="20" w:before="20"/>
            </w:pPr>
            <w:r>
              <w:rPr>
                <w:b/>
                <w:sz w:val="19"/>
              </w:rPr>
              <w:t>Build alat</w:t>
            </w:r>
          </w:p>
        </w:tc>
        <w:tc>
          <w:tcPr>
            <w:tcW w:type="dxa" w:w="2929"/>
            <w:vAlign w:val="center"/>
          </w:tcPr>
          <w:p>
            <w:pPr>
              <w:spacing w:after="20" w:before="20"/>
            </w:pPr>
            <w:r>
              <w:rPr>
                <w:sz w:val="19"/>
              </w:rPr>
              <w:t>PlatformIO</w:t>
            </w:r>
          </w:p>
        </w:tc>
        <w:tc>
          <w:tcPr>
            <w:tcW w:type="dxa" w:w="2929"/>
            <w:vAlign w:val="center"/>
          </w:tcPr>
          <w:p>
            <w:pPr>
              <w:spacing w:after="20" w:before="20"/>
            </w:pPr>
            <w:r>
              <w:rPr>
                <w:sz w:val="19"/>
              </w:rPr>
              <w:t>Prevođenje, flešovanje i nadzor; izbor aktivne ploče</w:t>
            </w:r>
          </w:p>
        </w:tc>
      </w:tr>
      <w:tr>
        <w:tc>
          <w:tcPr>
            <w:tcW w:type="dxa" w:w="2929"/>
            <w:vAlign w:val="center"/>
          </w:tcPr>
          <w:p>
            <w:pPr>
              <w:spacing w:after="20" w:before="20"/>
            </w:pPr>
            <w:r>
              <w:rPr>
                <w:b/>
                <w:sz w:val="19"/>
              </w:rPr>
              <w:t>Konkurentnost</w:t>
            </w:r>
          </w:p>
        </w:tc>
        <w:tc>
          <w:tcPr>
            <w:tcW w:type="dxa" w:w="2929"/>
            <w:vAlign w:val="center"/>
          </w:tcPr>
          <w:p>
            <w:pPr>
              <w:spacing w:after="20" w:before="20"/>
            </w:pPr>
            <w:r>
              <w:rPr>
                <w:sz w:val="19"/>
              </w:rPr>
              <w:t>FreeRTOS</w:t>
            </w:r>
          </w:p>
        </w:tc>
        <w:tc>
          <w:tcPr>
            <w:tcW w:type="dxa" w:w="2929"/>
            <w:vAlign w:val="center"/>
          </w:tcPr>
          <w:p>
            <w:pPr>
              <w:spacing w:after="20" w:before="20"/>
            </w:pPr>
            <w:r>
              <w:rPr>
                <w:sz w:val="19"/>
              </w:rPr>
              <w:t>Periodični zadaci; mrežna i aplikaciona logika razdvojene po jezgrima</w:t>
            </w:r>
          </w:p>
        </w:tc>
      </w:tr>
      <w:tr>
        <w:tc>
          <w:tcPr>
            <w:tcW w:type="dxa" w:w="2929"/>
            <w:vAlign w:val="center"/>
          </w:tcPr>
          <w:p>
            <w:pPr>
              <w:spacing w:after="20" w:before="20"/>
            </w:pPr>
            <w:r>
              <w:rPr>
                <w:b/>
                <w:sz w:val="19"/>
              </w:rPr>
              <w:t>MQTT klijent</w:t>
            </w:r>
          </w:p>
        </w:tc>
        <w:tc>
          <w:tcPr>
            <w:tcW w:type="dxa" w:w="2929"/>
            <w:vAlign w:val="center"/>
          </w:tcPr>
          <w:p>
            <w:pPr>
              <w:spacing w:after="20" w:before="20"/>
            </w:pPr>
            <w:r>
              <w:rPr>
                <w:sz w:val="19"/>
              </w:rPr>
              <w:t>esp-mqtt</w:t>
            </w:r>
          </w:p>
        </w:tc>
        <w:tc>
          <w:tcPr>
            <w:tcW w:type="dxa" w:w="2929"/>
            <w:vAlign w:val="center"/>
          </w:tcPr>
          <w:p>
            <w:pPr>
              <w:spacing w:after="20" w:before="20"/>
            </w:pPr>
            <w:r>
              <w:rPr>
                <w:sz w:val="19"/>
              </w:rPr>
              <w:t>Povezivanje, Last-Will, pretplata i objavljivanje</w:t>
            </w:r>
          </w:p>
        </w:tc>
      </w:tr>
      <w:tr>
        <w:tc>
          <w:tcPr>
            <w:tcW w:type="dxa" w:w="2929"/>
            <w:vAlign w:val="center"/>
          </w:tcPr>
          <w:p>
            <w:pPr>
              <w:spacing w:after="20" w:before="20"/>
            </w:pPr>
            <w:r>
              <w:rPr>
                <w:b/>
                <w:sz w:val="19"/>
              </w:rPr>
              <w:t>Bezbednost transporta</w:t>
            </w:r>
          </w:p>
        </w:tc>
        <w:tc>
          <w:tcPr>
            <w:tcW w:type="dxa" w:w="2929"/>
            <w:vAlign w:val="center"/>
          </w:tcPr>
          <w:p>
            <w:pPr>
              <w:spacing w:after="20" w:before="20"/>
            </w:pPr>
            <w:r>
              <w:rPr>
                <w:sz w:val="19"/>
              </w:rPr>
              <w:t>mbedTLS (TLS 1.2)</w:t>
            </w:r>
          </w:p>
        </w:tc>
        <w:tc>
          <w:tcPr>
            <w:tcW w:type="dxa" w:w="2929"/>
            <w:vAlign w:val="center"/>
          </w:tcPr>
          <w:p>
            <w:pPr>
              <w:spacing w:after="20" w:before="20"/>
            </w:pPr>
            <w:r>
              <w:rPr>
                <w:sz w:val="19"/>
              </w:rPr>
              <w:t>Enkripcija kanala čvora esp2 i verifikacija sertifikata servera</w:t>
            </w:r>
          </w:p>
        </w:tc>
      </w:tr>
    </w:tbl>
    <w:p>
      <w:pPr>
        <w:pStyle w:val="Heading2"/>
        <w:keepNext/>
      </w:pPr>
      <w:r>
        <w:t>Topologija mreže i uloge čvorova</w:t>
      </w:r>
    </w:p>
    <w:p>
      <w:r>
        <w:t xml:space="preserve">Svi učesnici nalaze se na istoj lokalnoj Wi-Fi mreži. Sistem čine tri fizička učesnika: Raspberry Pi kao čvorište (broker i kontroler), referentni čvor i čvor koji je predmet analize. Raspberry Pi ima adresu 192.168.0.10 i hostname </w:t>
      </w:r>
      <w:r>
        <w:rPr>
          <w:rFonts w:ascii="Consolas" w:hAnsi="Consolas"/>
          <w:sz w:val="21"/>
        </w:rPr>
        <w:t>pihome</w:t>
      </w:r>
      <w:r>
        <w:t>; referentni čvor esp1 dobija adresu 192.168.0.11, a čvor esp2 adresu 192.168.0.12. Uloge, portovi i transport sažeti su u narednoj tabeli.</w:t>
      </w:r>
    </w:p>
    <w:p>
      <w:pPr>
        <w:spacing w:before="80" w:after="80"/>
        <w:jc w:val="left"/>
        <w:keepNext/>
      </w:pPr>
      <w:r>
        <w:rPr>
          <w:b/>
          <w:i/>
          <w:sz w:val="19"/>
        </w:rPr>
        <w:t xml:space="preserve">Tabela 4. </w:t>
      </w:r>
      <w:r>
        <w:rPr>
          <w:i/>
          <w:sz w:val="19"/>
        </w:rPr>
        <w:t>Uloge čvorova, portovi i transport</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shd w:val="clear" w:color="auto" w:fill="1f3864"/>
            <w:vAlign w:val="center"/>
          </w:tcPr>
          <w:p>
            <w:pPr>
              <w:spacing w:after="40" w:before="40"/>
              <w:jc w:val="center"/>
            </w:pPr>
            <w:r>
              <w:rPr>
                <w:b/>
                <w:color w:val="FFFFFF"/>
                <w:sz w:val="19"/>
              </w:rPr>
              <w:t>Čvor</w:t>
            </w:r>
          </w:p>
        </w:tc>
        <w:tc>
          <w:tcPr>
            <w:tcW w:type="dxa" w:w="2197"/>
            <w:shd w:val="clear" w:color="auto" w:fill="1f3864"/>
            <w:vAlign w:val="center"/>
          </w:tcPr>
          <w:p>
            <w:pPr>
              <w:spacing w:after="40" w:before="40"/>
              <w:jc w:val="center"/>
            </w:pPr>
            <w:r>
              <w:rPr>
                <w:b/>
                <w:color w:val="FFFFFF"/>
                <w:sz w:val="19"/>
              </w:rPr>
              <w:t>Uloga u radu</w:t>
            </w:r>
          </w:p>
        </w:tc>
        <w:tc>
          <w:tcPr>
            <w:tcW w:type="dxa" w:w="2197"/>
            <w:shd w:val="clear" w:color="auto" w:fill="1f3864"/>
            <w:vAlign w:val="center"/>
          </w:tcPr>
          <w:p>
            <w:pPr>
              <w:spacing w:after="40" w:before="40"/>
              <w:jc w:val="center"/>
            </w:pPr>
            <w:r>
              <w:rPr>
                <w:b/>
                <w:color w:val="FFFFFF"/>
                <w:sz w:val="19"/>
              </w:rPr>
              <w:t>Port</w:t>
            </w:r>
          </w:p>
        </w:tc>
        <w:tc>
          <w:tcPr>
            <w:tcW w:type="dxa" w:w="2197"/>
            <w:shd w:val="clear" w:color="auto" w:fill="1f3864"/>
            <w:vAlign w:val="center"/>
          </w:tcPr>
          <w:p>
            <w:pPr>
              <w:spacing w:after="40" w:before="40"/>
              <w:jc w:val="center"/>
            </w:pPr>
            <w:r>
              <w:rPr>
                <w:b/>
                <w:color w:val="FFFFFF"/>
                <w:sz w:val="19"/>
              </w:rPr>
              <w:t>Transport</w:t>
            </w:r>
          </w:p>
        </w:tc>
      </w:tr>
      <w:tr>
        <w:tc>
          <w:tcPr>
            <w:tcW w:type="dxa" w:w="2197"/>
            <w:vAlign w:val="center"/>
          </w:tcPr>
          <w:p>
            <w:pPr>
              <w:spacing w:after="20" w:before="20"/>
            </w:pPr>
            <w:r>
              <w:rPr>
                <w:b/>
                <w:sz w:val="19"/>
              </w:rPr>
              <w:t>Raspberry Pi 4B (pihome)</w:t>
            </w:r>
          </w:p>
        </w:tc>
        <w:tc>
          <w:tcPr>
            <w:tcW w:type="dxa" w:w="2197"/>
            <w:vAlign w:val="center"/>
          </w:tcPr>
          <w:p>
            <w:pPr>
              <w:spacing w:after="20" w:before="20"/>
            </w:pPr>
            <w:r>
              <w:rPr>
                <w:sz w:val="19"/>
              </w:rPr>
              <w:t>Broker poruka (Mosquitto) + kontroler (Home Assistant)</w:t>
            </w:r>
          </w:p>
        </w:tc>
        <w:tc>
          <w:tcPr>
            <w:tcW w:type="dxa" w:w="2197"/>
            <w:vAlign w:val="center"/>
          </w:tcPr>
          <w:p>
            <w:pPr>
              <w:spacing w:after="20" w:before="20"/>
            </w:pPr>
            <w:r>
              <w:rPr>
                <w:sz w:val="19"/>
              </w:rPr>
              <w:t>1883 i 8883</w:t>
            </w:r>
          </w:p>
        </w:tc>
        <w:tc>
          <w:tcPr>
            <w:tcW w:type="dxa" w:w="2197"/>
            <w:vAlign w:val="center"/>
          </w:tcPr>
          <w:p>
            <w:pPr>
              <w:spacing w:after="20" w:before="20"/>
            </w:pPr>
            <w:r>
              <w:rPr>
                <w:sz w:val="19"/>
              </w:rPr>
              <w:t>sluša oba: plain i TLS</w:t>
            </w:r>
          </w:p>
        </w:tc>
      </w:tr>
      <w:tr>
        <w:tc>
          <w:tcPr>
            <w:tcW w:type="dxa" w:w="2197"/>
            <w:vAlign w:val="center"/>
          </w:tcPr>
          <w:p>
            <w:pPr>
              <w:spacing w:after="20" w:before="20"/>
            </w:pPr>
            <w:r>
              <w:rPr>
                <w:b/>
                <w:sz w:val="19"/>
              </w:rPr>
              <w:t>esp1_lights</w:t>
            </w:r>
          </w:p>
        </w:tc>
        <w:tc>
          <w:tcPr>
            <w:tcW w:type="dxa" w:w="2197"/>
            <w:vAlign w:val="center"/>
          </w:tcPr>
          <w:p>
            <w:pPr>
              <w:spacing w:after="20" w:before="20"/>
            </w:pPr>
            <w:r>
              <w:rPr>
                <w:sz w:val="19"/>
              </w:rPr>
              <w:t>Referentna tačka (baseline) — upravljanje svetlima</w:t>
            </w:r>
          </w:p>
        </w:tc>
        <w:tc>
          <w:tcPr>
            <w:tcW w:type="dxa" w:w="2197"/>
            <w:vAlign w:val="center"/>
          </w:tcPr>
          <w:p>
            <w:pPr>
              <w:spacing w:after="20" w:before="20"/>
            </w:pPr>
            <w:r>
              <w:rPr>
                <w:sz w:val="19"/>
              </w:rPr>
              <w:t>1883</w:t>
            </w:r>
          </w:p>
        </w:tc>
        <w:tc>
          <w:tcPr>
            <w:tcW w:type="dxa" w:w="2197"/>
            <w:vAlign w:val="center"/>
          </w:tcPr>
          <w:p>
            <w:pPr>
              <w:spacing w:after="20" w:before="20"/>
            </w:pPr>
            <w:r>
              <w:rPr>
                <w:sz w:val="19"/>
              </w:rPr>
              <w:t>plain MQTT (nezaštićeno)</w:t>
            </w:r>
          </w:p>
        </w:tc>
      </w:tr>
      <w:tr>
        <w:tc>
          <w:tcPr>
            <w:tcW w:type="dxa" w:w="2197"/>
            <w:vAlign w:val="center"/>
          </w:tcPr>
          <w:p>
            <w:pPr>
              <w:spacing w:after="20" w:before="20"/>
            </w:pPr>
            <w:r>
              <w:rPr>
                <w:b/>
                <w:sz w:val="19"/>
              </w:rPr>
              <w:t>esp2_temperature</w:t>
            </w:r>
          </w:p>
        </w:tc>
        <w:tc>
          <w:tcPr>
            <w:tcW w:type="dxa" w:w="2197"/>
            <w:vAlign w:val="center"/>
          </w:tcPr>
          <w:p>
            <w:pPr>
              <w:spacing w:after="20" w:before="20"/>
            </w:pPr>
            <w:r>
              <w:rPr>
                <w:sz w:val="19"/>
              </w:rPr>
              <w:t>Predmet analize — objava temperatura</w:t>
            </w:r>
          </w:p>
        </w:tc>
        <w:tc>
          <w:tcPr>
            <w:tcW w:type="dxa" w:w="2197"/>
            <w:vAlign w:val="center"/>
          </w:tcPr>
          <w:p>
            <w:pPr>
              <w:spacing w:after="20" w:before="20"/>
            </w:pPr>
            <w:r>
              <w:rPr>
                <w:sz w:val="19"/>
              </w:rPr>
              <w:t>8883</w:t>
            </w:r>
          </w:p>
        </w:tc>
        <w:tc>
          <w:tcPr>
            <w:tcW w:type="dxa" w:w="2197"/>
            <w:vAlign w:val="center"/>
          </w:tcPr>
          <w:p>
            <w:pPr>
              <w:spacing w:after="20" w:before="20"/>
            </w:pPr>
            <w:r>
              <w:rPr>
                <w:sz w:val="19"/>
              </w:rPr>
              <w:t>MQTTS (MQTT preko TLS 1.2)</w:t>
            </w:r>
          </w:p>
        </w:tc>
      </w:tr>
    </w:tbl>
    <w:p>
      <w:r>
        <w:t xml:space="preserve">Referentni čvor </w:t>
      </w:r>
      <w:r>
        <w:rPr>
          <w:rFonts w:ascii="Consolas" w:hAnsi="Consolas"/>
          <w:sz w:val="21"/>
        </w:rPr>
        <w:t>esp1_lights</w:t>
      </w:r>
      <w:r>
        <w:t xml:space="preserve"> izgrađen je na modulu </w:t>
      </w:r>
      <w:r>
        <w:rPr>
          <w:i/>
        </w:rPr>
        <w:t>ESP32-D0WDQ6</w:t>
      </w:r>
      <w:r>
        <w:t xml:space="preserve"> (WROOM), sa </w:t>
      </w:r>
      <w:r>
        <w:rPr>
          <w:i/>
        </w:rPr>
        <w:t>CP2102</w:t>
      </w:r>
      <w:r>
        <w:t xml:space="preserve"> mostom ka računaru preko USB veze, i upravlja sa četiri releja za svetla, koja se u kontroleru pojavljuju kao prekidački (switch) entiteti. Pošto komunicira nezaštićenim kanalom, ovaj čvor služi kao referenca prema kojoj se meri trošak enkripcije.</w:t>
      </w:r>
    </w:p>
    <w:p>
      <w:r>
        <w:t xml:space="preserve">Čvor </w:t>
      </w:r>
      <w:r>
        <w:rPr>
          <w:rFonts w:ascii="Consolas" w:hAnsi="Consolas"/>
          <w:sz w:val="21"/>
        </w:rPr>
        <w:t>esp2_temperature</w:t>
      </w:r>
      <w:r>
        <w:t xml:space="preserve"> izgrađen je na razvojnoj ploči </w:t>
      </w:r>
      <w:r>
        <w:rPr>
          <w:i/>
        </w:rPr>
        <w:t>ESP-WROVER-KIT V4.1</w:t>
      </w:r>
      <w:r>
        <w:t xml:space="preserve"> (modul </w:t>
      </w:r>
      <w:r>
        <w:rPr>
          <w:i/>
        </w:rPr>
        <w:t>ESP32-D0WD</w:t>
      </w:r>
      <w:r>
        <w:t xml:space="preserve"> sa dodatnom PSRAM memorijom), sa dvokanalnim </w:t>
      </w:r>
      <w:r>
        <w:rPr>
          <w:i/>
        </w:rPr>
        <w:t>FT2232</w:t>
      </w:r>
      <w:r>
        <w:t xml:space="preserve"> USB mostom i ugrađenim </w:t>
      </w:r>
      <w:r>
        <w:rPr>
          <w:i/>
        </w:rPr>
        <w:t>ILI9341</w:t>
      </w:r>
      <w:r>
        <w:t xml:space="preserve"> LCD ekranom. Ovaj čvor objavljuje četiri simulirane temperature (po modelu nasumičnog hoda) i prikazuje ih na ekranu, a sav njegov saobraćaj ka brokeru odvija se enkriptovanim kanalom, zbog čega je upravo on predmet analize opterećenja koje </w:t>
      </w:r>
      <w:r>
        <w:rPr>
          <w:i/>
        </w:rPr>
        <w:t>TLS</w:t>
      </w:r>
      <w:r>
        <w:t xml:space="preserve"> unosi.</w:t>
      </w:r>
    </w:p>
    <w:p>
      <w:r>
        <w:t>Raspberry Pi opslužuje oba čvora istovremeno preko dva listenera brokera. Home Assistant se na broker povezuje lokalnom (loopback) vezom preko običnog porta 1883, pa broker poruku koju esp2 objavi enkriptovano na portu 8883 dekriptuje i isporučuje kontroleru nepromenjenu (i obrnuto). Time jedan broker i jedan kontroler ravnopravno opslužuju i plain i TLS čvor, a poređenje ostaje pošteno.</w:t>
      </w:r>
    </w:p>
    <w:p>
      <w:pPr>
        <w:pStyle w:val="Heading2"/>
        <w:keepNext/>
      </w:pPr>
      <w:r>
        <w:t>Tok podataka i komunikacioni obrasci</w:t>
      </w:r>
    </w:p>
    <w:p>
      <w:r>
        <w:t xml:space="preserve">Oba čvora prolaze kroz identičan redosled pokretanja i povezivanja, jer taj tok živi u deljenoj </w:t>
      </w:r>
      <w:r>
        <w:rPr>
          <w:rFonts w:ascii="Consolas" w:hAnsi="Consolas"/>
          <w:sz w:val="21"/>
        </w:rPr>
        <w:t>common</w:t>
      </w:r>
      <w:r>
        <w:t xml:space="preserve"> komponenti firmvera. Postupak od uključivanja napajanja do prijavljivanja entiteta u kontroleru odvija se u sledećim koracima.</w:t>
      </w:r>
    </w:p>
    <w:p>
      <w:pPr>
        <w:pStyle w:val="ListNumber"/>
      </w:pPr>
      <w:r>
        <w:t xml:space="preserve">Reset i pokretanje: funkcija </w:t>
      </w:r>
      <w:r>
        <w:rPr>
          <w:rFonts w:ascii="Consolas" w:hAnsi="Consolas"/>
          <w:sz w:val="21"/>
        </w:rPr>
        <w:t>app_main()</w:t>
      </w:r>
      <w:r>
        <w:t xml:space="preserve"> definiše pinove i poziva jedan </w:t>
      </w:r>
      <w:r>
        <w:rPr>
          <w:rFonts w:ascii="Consolas" w:hAnsi="Consolas"/>
          <w:sz w:val="21"/>
        </w:rPr>
        <w:t>*_start()</w:t>
      </w:r>
      <w:r>
        <w:t xml:space="preserve"> ulaz specifičan za ploču, nakon čega prelazi u stanje mirovanja.</w:t>
      </w:r>
    </w:p>
    <w:p>
      <w:pPr>
        <w:pStyle w:val="ListNumber"/>
      </w:pPr>
      <w:r>
        <w:t xml:space="preserve">Povezivanje na mrežu: </w:t>
      </w:r>
      <w:r>
        <w:rPr>
          <w:rFonts w:ascii="Consolas" w:hAnsi="Consolas"/>
          <w:sz w:val="21"/>
        </w:rPr>
        <w:t>wifi_sta_start(hostname)</w:t>
      </w:r>
      <w:r>
        <w:t xml:space="preserve"> inicijalizuje NVS, mrežni interfejs i petlju događaja, povezuje se na pristupnu tačku u STA režimu i blokira dok ne dobije IP adresu.</w:t>
      </w:r>
    </w:p>
    <w:p>
      <w:pPr>
        <w:pStyle w:val="ListNumber"/>
      </w:pPr>
      <w:r>
        <w:t xml:space="preserve">Uspostava MQTT sesije: </w:t>
      </w:r>
      <w:r>
        <w:rPr>
          <w:rFonts w:ascii="Consolas" w:hAnsi="Consolas"/>
          <w:sz w:val="21"/>
        </w:rPr>
        <w:t>mqtt_start(board, on_message, on_connect)</w:t>
      </w:r>
      <w:r>
        <w:t xml:space="preserve"> konfiguriše klijenta i postavlja Last-Will poruku (retained </w:t>
      </w:r>
      <w:r>
        <w:rPr>
          <w:rFonts w:ascii="Consolas" w:hAnsi="Consolas"/>
          <w:sz w:val="21"/>
        </w:rPr>
        <w:t>offline</w:t>
      </w:r>
      <w:r>
        <w:t xml:space="preserve"> na temi </w:t>
      </w:r>
      <w:r>
        <w:rPr>
          <w:rFonts w:ascii="Consolas" w:hAnsi="Consolas"/>
          <w:sz w:val="21"/>
        </w:rPr>
        <w:t>home/&lt;board&gt;/status</w:t>
      </w:r>
      <w:r>
        <w:t>) koju broker objavljuje u ime čvora ako veza neočekivano padne.</w:t>
      </w:r>
    </w:p>
    <w:p>
      <w:pPr>
        <w:pStyle w:val="ListNumber"/>
      </w:pPr>
      <w:r>
        <w:t xml:space="preserve">Potvrda povezivanja: po prijemu događaja povezivanja klijent objavljuje </w:t>
      </w:r>
      <w:r>
        <w:rPr>
          <w:rFonts w:ascii="Consolas" w:hAnsi="Consolas"/>
          <w:sz w:val="21"/>
        </w:rPr>
        <w:t>online</w:t>
      </w:r>
      <w:r>
        <w:t xml:space="preserve"> (retained) i poziva </w:t>
      </w:r>
      <w:r>
        <w:rPr>
          <w:rFonts w:ascii="Consolas" w:hAnsi="Consolas"/>
          <w:sz w:val="21"/>
        </w:rPr>
        <w:t>on_connect()</w:t>
      </w:r>
      <w:r>
        <w:t>.</w:t>
      </w:r>
    </w:p>
    <w:p>
      <w:pPr>
        <w:pStyle w:val="ListNumber"/>
      </w:pPr>
      <w:r>
        <w:t xml:space="preserve">Periodični zadaci: čvor koji čita ili simulira hardver pokreće bezdriftni periodični FreeRTOS zadatak preko </w:t>
      </w:r>
      <w:r>
        <w:rPr>
          <w:rFonts w:ascii="Consolas" w:hAnsi="Consolas"/>
          <w:sz w:val="21"/>
        </w:rPr>
        <w:t>rtos_every_ms(...)</w:t>
      </w:r>
      <w:r>
        <w:t>.</w:t>
      </w:r>
    </w:p>
    <w:p>
      <w:r>
        <w:t xml:space="preserve">Povratni poziv </w:t>
      </w:r>
      <w:r>
        <w:rPr>
          <w:rFonts w:ascii="Consolas" w:hAnsi="Consolas"/>
          <w:sz w:val="21"/>
        </w:rPr>
        <w:t>on_connect()</w:t>
      </w:r>
      <w:r>
        <w:t xml:space="preserve"> je centralno mesto svakog čvora i mora biti </w:t>
      </w:r>
      <w:r>
        <w:rPr>
          <w:i/>
        </w:rPr>
        <w:t>idempotentan</w:t>
      </w:r>
      <w:r>
        <w:t xml:space="preserve">, jer se izvršava pri svakom (ponovnom) povezivanju. U njemu se čvor pretplaćuje na svoje komandne teme, objavljuje retained </w:t>
      </w:r>
      <w:r>
        <w:rPr>
          <w:i/>
        </w:rPr>
        <w:t>MQTT Discovery</w:t>
      </w:r>
      <w:r>
        <w:t xml:space="preserve"> konfiguraciju za svaki entitet na temi </w:t>
      </w:r>
      <w:r>
        <w:rPr>
          <w:rFonts w:ascii="Consolas" w:hAnsi="Consolas"/>
          <w:sz w:val="21"/>
        </w:rPr>
        <w:t>homeassistant/&lt;component&gt;/&lt;board&gt;/&lt;object_id&gt;/config</w:t>
      </w:r>
      <w:r>
        <w:t xml:space="preserve"> i objavljuje trenutno stanje. Čim broker prosledi ove retained poruke kontroleru, entiteti se u Home Assistant-u pojavljuju kao dostupni.</w:t>
      </w:r>
    </w:p>
    <w:p>
      <w:r>
        <w:t xml:space="preserve">U ustaljenom stanju sistem razmenjuje poruke u dva smera. U silaznom smeru korisnik ili automatizacija u kontroleru objavljuje komandu na </w:t>
      </w:r>
      <w:r>
        <w:rPr>
          <w:rFonts w:ascii="Consolas" w:hAnsi="Consolas"/>
          <w:sz w:val="21"/>
        </w:rPr>
        <w:t>set</w:t>
      </w:r>
      <w:r>
        <w:t xml:space="preserve"> temu; broker je prosleđuje čvoru, </w:t>
      </w:r>
      <w:r>
        <w:rPr>
          <w:rFonts w:ascii="Consolas" w:hAnsi="Consolas"/>
          <w:sz w:val="21"/>
        </w:rPr>
        <w:t>on_message()</w:t>
      </w:r>
      <w:r>
        <w:t xml:space="preserve"> uparuje temu i primenjuje komandu na hardver, a čvor potom objavljuje novo stanje (retained eho) na odgovarajućoj </w:t>
      </w:r>
      <w:r>
        <w:rPr>
          <w:rFonts w:ascii="Consolas" w:hAnsi="Consolas"/>
          <w:sz w:val="21"/>
        </w:rPr>
        <w:t>state</w:t>
      </w:r>
      <w:r>
        <w:t xml:space="preserve"> temi — tako radi na primer prebacivanje svetla na čvoru esp1. U uzlaznom smeru periodični zadatak čvora esp2 očitava simulirane senzore, sastavlja </w:t>
      </w:r>
      <w:r>
        <w:rPr>
          <w:i/>
        </w:rPr>
        <w:t>JSON</w:t>
      </w:r>
      <w:r>
        <w:t xml:space="preserve"> poruku i objavljuje je (retained) na svakih 30 sekundi, pa kontroler ažurira prikazane vrednosti.</w:t>
      </w:r>
    </w:p>
    <w:p>
      <w:r>
        <w:t xml:space="preserve">Pri prekidu veze broker objavljuje Last-Will poruku </w:t>
      </w:r>
      <w:r>
        <w:rPr>
          <w:rFonts w:ascii="Consolas" w:hAnsi="Consolas"/>
          <w:sz w:val="21"/>
        </w:rPr>
        <w:t>offline</w:t>
      </w:r>
      <w:r>
        <w:t xml:space="preserve">, čime kontroler odmah saznaje da je čvor nedostupan. Klijent </w:t>
      </w:r>
      <w:r>
        <w:rPr>
          <w:rFonts w:ascii="Consolas" w:hAnsi="Consolas"/>
          <w:sz w:val="21"/>
        </w:rPr>
        <w:t>esp-mqtt</w:t>
      </w:r>
      <w:r>
        <w:t xml:space="preserve"> se zatim automatski ponovo povezuje, nakon čega se </w:t>
      </w:r>
      <w:r>
        <w:rPr>
          <w:rFonts w:ascii="Consolas" w:hAnsi="Consolas"/>
          <w:sz w:val="21"/>
        </w:rPr>
        <w:t>on_connect()</w:t>
      </w:r>
      <w:r>
        <w:t xml:space="preserve"> izvršava iznova; upravo zato je njegova idempotentnost neophodna — ponovno objavljivanje pretplata, discovery konfiguracije i stanja dovodi sistem u konzistentno stanje bez obzira na broj ponovnih povezivanja.</w:t>
      </w:r>
    </w:p>
    <w:p>
      <w:r>
        <w:t>Zadržavanje poruka (retained) je namerna projektantska odluka koja se provlači kroz ceo tok: dostupnost, discovery konfiguracija i sva stanja objavljuju se kao retained, pa svaki novi pretplatnik — na primer kontroler posle ponovnog pokretanja — odmah dobija poslednju poznatu vrednost bez čekanja na sledeći ciklus objave.</w:t>
      </w:r>
    </w:p>
    <w:p>
      <w:pPr>
        <w:pStyle w:val="Heading2"/>
        <w:keepNext/>
      </w:pPr>
      <w:r>
        <w:t>Konvencije MQTT topica</w:t>
      </w:r>
    </w:p>
    <w:p>
      <w:r>
        <w:t xml:space="preserve">Imenovanje tema (topica) sledi jednostavan hijerarhijski prostor imena. Aplikacione teme počinju prefiksom </w:t>
      </w:r>
      <w:r>
        <w:rPr>
          <w:rFonts w:ascii="Consolas" w:hAnsi="Consolas"/>
          <w:sz w:val="21"/>
        </w:rPr>
        <w:t>home/&lt;board&gt;/...</w:t>
      </w:r>
      <w:r>
        <w:t xml:space="preserve">, dok se teme automatskog otkrivanja nalaze pod prefiksom </w:t>
      </w:r>
      <w:r>
        <w:rPr>
          <w:rFonts w:ascii="Consolas" w:hAnsi="Consolas"/>
          <w:sz w:val="21"/>
        </w:rPr>
        <w:t>homeassistant/...</w:t>
      </w:r>
      <w:r>
        <w:t xml:space="preserve"> koji Home Assistant nadgleda. Oznaka </w:t>
      </w:r>
      <w:r>
        <w:rPr>
          <w:rFonts w:ascii="Consolas" w:hAnsi="Consolas"/>
          <w:sz w:val="21"/>
        </w:rPr>
        <w:t>&lt;board&gt;</w:t>
      </w:r>
      <w:r>
        <w:t xml:space="preserve"> je kratak identifikator ploče koji se koristi i u temama i u imenu OTA manifesta (</w:t>
      </w:r>
      <w:r>
        <w:rPr>
          <w:rFonts w:ascii="Consolas" w:hAnsi="Consolas"/>
          <w:sz w:val="21"/>
        </w:rPr>
        <w:t>lights</w:t>
      </w:r>
      <w:r>
        <w:t xml:space="preserve"> za esp1, odnosno </w:t>
      </w:r>
      <w:r>
        <w:rPr>
          <w:rFonts w:ascii="Consolas" w:hAnsi="Consolas"/>
          <w:sz w:val="21"/>
        </w:rPr>
        <w:t>temperature</w:t>
      </w:r>
      <w:r>
        <w:t xml:space="preserve"> za esp2). Naredna tabela sažima ustaljene konvencije.</w:t>
      </w:r>
    </w:p>
    <w:p>
      <w:pPr>
        <w:spacing w:before="80" w:after="80"/>
        <w:jc w:val="left"/>
        <w:keepNext/>
      </w:pPr>
      <w:r>
        <w:rPr>
          <w:b/>
          <w:i/>
          <w:sz w:val="19"/>
        </w:rPr>
        <w:t xml:space="preserve">Tabela 5. </w:t>
      </w:r>
      <w:r>
        <w:rPr>
          <w:i/>
          <w:sz w:val="19"/>
        </w:rPr>
        <w:t>Konvencije MQTT tema u sistemu</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Kategorija</w:t>
            </w:r>
          </w:p>
        </w:tc>
        <w:tc>
          <w:tcPr>
            <w:tcW w:type="dxa" w:w="2929"/>
            <w:shd w:val="clear" w:color="auto" w:fill="1f3864"/>
            <w:vAlign w:val="center"/>
          </w:tcPr>
          <w:p>
            <w:pPr>
              <w:spacing w:after="40" w:before="40"/>
              <w:jc w:val="center"/>
            </w:pPr>
            <w:r>
              <w:rPr>
                <w:b/>
                <w:color w:val="FFFFFF"/>
                <w:sz w:val="19"/>
              </w:rPr>
              <w:t>Šablon teme</w:t>
            </w:r>
          </w:p>
        </w:tc>
        <w:tc>
          <w:tcPr>
            <w:tcW w:type="dxa" w:w="2929"/>
            <w:shd w:val="clear" w:color="auto" w:fill="1f3864"/>
            <w:vAlign w:val="center"/>
          </w:tcPr>
          <w:p>
            <w:pPr>
              <w:spacing w:after="40" w:before="40"/>
              <w:jc w:val="center"/>
            </w:pPr>
            <w:r>
              <w:rPr>
                <w:b/>
                <w:color w:val="FFFFFF"/>
                <w:sz w:val="19"/>
              </w:rPr>
              <w:t>Napomena</w:t>
            </w:r>
          </w:p>
        </w:tc>
      </w:tr>
      <w:tr>
        <w:tc>
          <w:tcPr>
            <w:tcW w:type="dxa" w:w="2929"/>
            <w:vAlign w:val="center"/>
          </w:tcPr>
          <w:p>
            <w:pPr>
              <w:spacing w:after="20" w:before="20"/>
            </w:pPr>
            <w:r>
              <w:rPr>
                <w:b/>
                <w:sz w:val="19"/>
              </w:rPr>
              <w:t>Aplikacione komande</w:t>
            </w:r>
          </w:p>
        </w:tc>
        <w:tc>
          <w:tcPr>
            <w:tcW w:type="dxa" w:w="2929"/>
            <w:vAlign w:val="center"/>
          </w:tcPr>
          <w:p>
            <w:pPr>
              <w:spacing w:after="20" w:before="20"/>
            </w:pPr>
            <w:r>
              <w:rPr>
                <w:sz w:val="19"/>
              </w:rPr>
              <w:t>home/&lt;board&gt;/&lt;entitet&gt;/set</w:t>
            </w:r>
          </w:p>
        </w:tc>
        <w:tc>
          <w:tcPr>
            <w:tcW w:type="dxa" w:w="2929"/>
            <w:vAlign w:val="center"/>
          </w:tcPr>
          <w:p>
            <w:pPr>
              <w:spacing w:after="20" w:before="20"/>
            </w:pPr>
            <w:r>
              <w:rPr>
                <w:sz w:val="19"/>
              </w:rPr>
              <w:t>npr. home/lights/light1/set</w:t>
            </w:r>
          </w:p>
        </w:tc>
      </w:tr>
      <w:tr>
        <w:tc>
          <w:tcPr>
            <w:tcW w:type="dxa" w:w="2929"/>
            <w:vAlign w:val="center"/>
          </w:tcPr>
          <w:p>
            <w:pPr>
              <w:spacing w:after="20" w:before="20"/>
            </w:pPr>
            <w:r>
              <w:rPr>
                <w:b/>
                <w:sz w:val="19"/>
              </w:rPr>
              <w:t>Aplikaciona stanja</w:t>
            </w:r>
          </w:p>
        </w:tc>
        <w:tc>
          <w:tcPr>
            <w:tcW w:type="dxa" w:w="2929"/>
            <w:vAlign w:val="center"/>
          </w:tcPr>
          <w:p>
            <w:pPr>
              <w:spacing w:after="20" w:before="20"/>
            </w:pPr>
            <w:r>
              <w:rPr>
                <w:sz w:val="19"/>
              </w:rPr>
              <w:t>home/&lt;board&gt;/&lt;entitet&gt;/state</w:t>
            </w:r>
          </w:p>
        </w:tc>
        <w:tc>
          <w:tcPr>
            <w:tcW w:type="dxa" w:w="2929"/>
            <w:vAlign w:val="center"/>
          </w:tcPr>
          <w:p>
            <w:pPr>
              <w:spacing w:after="20" w:before="20"/>
            </w:pPr>
            <w:r>
              <w:rPr>
                <w:sz w:val="19"/>
              </w:rPr>
              <w:t>retained; npr. home/temperature/sensor/state (JSON)</w:t>
            </w:r>
          </w:p>
        </w:tc>
      </w:tr>
      <w:tr>
        <w:tc>
          <w:tcPr>
            <w:tcW w:type="dxa" w:w="2929"/>
            <w:vAlign w:val="center"/>
          </w:tcPr>
          <w:p>
            <w:pPr>
              <w:spacing w:after="20" w:before="20"/>
            </w:pPr>
            <w:r>
              <w:rPr>
                <w:b/>
                <w:sz w:val="19"/>
              </w:rPr>
              <w:t>Dostupnost</w:t>
            </w:r>
          </w:p>
        </w:tc>
        <w:tc>
          <w:tcPr>
            <w:tcW w:type="dxa" w:w="2929"/>
            <w:vAlign w:val="center"/>
          </w:tcPr>
          <w:p>
            <w:pPr>
              <w:spacing w:after="20" w:before="20"/>
            </w:pPr>
            <w:r>
              <w:rPr>
                <w:sz w:val="19"/>
              </w:rPr>
              <w:t>home/&lt;board&gt;/status</w:t>
            </w:r>
          </w:p>
        </w:tc>
        <w:tc>
          <w:tcPr>
            <w:tcW w:type="dxa" w:w="2929"/>
            <w:vAlign w:val="center"/>
          </w:tcPr>
          <w:p>
            <w:pPr>
              <w:spacing w:after="20" w:before="20"/>
            </w:pPr>
            <w:r>
              <w:rPr>
                <w:sz w:val="19"/>
              </w:rPr>
              <w:t>retained, preko Last-Will poruke (online/offline)</w:t>
            </w:r>
          </w:p>
        </w:tc>
      </w:tr>
      <w:tr>
        <w:tc>
          <w:tcPr>
            <w:tcW w:type="dxa" w:w="2929"/>
            <w:vAlign w:val="center"/>
          </w:tcPr>
          <w:p>
            <w:pPr>
              <w:spacing w:after="20" w:before="20"/>
            </w:pPr>
            <w:r>
              <w:rPr>
                <w:b/>
                <w:sz w:val="19"/>
              </w:rPr>
              <w:t>Automatsko otkrivanje</w:t>
            </w:r>
          </w:p>
        </w:tc>
        <w:tc>
          <w:tcPr>
            <w:tcW w:type="dxa" w:w="2929"/>
            <w:vAlign w:val="center"/>
          </w:tcPr>
          <w:p>
            <w:pPr>
              <w:spacing w:after="20" w:before="20"/>
            </w:pPr>
            <w:r>
              <w:rPr>
                <w:sz w:val="19"/>
              </w:rPr>
              <w:t>homeassistant/&lt;component&gt;/&lt;board&gt;/&lt;object_id&gt;/config</w:t>
            </w:r>
          </w:p>
        </w:tc>
        <w:tc>
          <w:tcPr>
            <w:tcW w:type="dxa" w:w="2929"/>
            <w:vAlign w:val="center"/>
          </w:tcPr>
          <w:p>
            <w:pPr>
              <w:spacing w:after="20" w:before="20"/>
            </w:pPr>
            <w:r>
              <w:rPr>
                <w:sz w:val="19"/>
              </w:rPr>
              <w:t>retained konfiguracija entiteta (MQTT Discovery)</w:t>
            </w:r>
          </w:p>
        </w:tc>
      </w:tr>
      <w:tr>
        <w:tc>
          <w:tcPr>
            <w:tcW w:type="dxa" w:w="2929"/>
            <w:vAlign w:val="center"/>
          </w:tcPr>
          <w:p>
            <w:pPr>
              <w:spacing w:after="20" w:before="20"/>
            </w:pPr>
            <w:r>
              <w:rPr>
                <w:b/>
                <w:sz w:val="19"/>
              </w:rPr>
              <w:t>OTA ažuriranje</w:t>
            </w:r>
          </w:p>
        </w:tc>
        <w:tc>
          <w:tcPr>
            <w:tcW w:type="dxa" w:w="2929"/>
            <w:vAlign w:val="center"/>
          </w:tcPr>
          <w:p>
            <w:pPr>
              <w:spacing w:after="20" w:before="20"/>
            </w:pPr>
            <w:r>
              <w:rPr>
                <w:sz w:val="19"/>
              </w:rPr>
              <w:t>home/&lt;board&gt;/ota/{set,install,state}</w:t>
            </w:r>
          </w:p>
        </w:tc>
        <w:tc>
          <w:tcPr>
            <w:tcW w:type="dxa" w:w="2929"/>
            <w:vAlign w:val="center"/>
          </w:tcPr>
          <w:p>
            <w:pPr>
              <w:spacing w:after="20" w:before="20"/>
            </w:pPr>
            <w:r>
              <w:rPr>
                <w:sz w:val="19"/>
              </w:rPr>
              <w:t>daljinsko ažuriranje firmvera po ploči</w:t>
            </w:r>
          </w:p>
        </w:tc>
      </w:tr>
    </w:tbl>
    <w:p>
      <w:r>
        <w:t xml:space="preserve">Dosledna primena ove šeme omogućava da se OTA i integracija sa kontrolerom povežu na jednom mestu, u deljenoj komponenti, bez izmena u kodu pojedinih ploča. Treba napomenuti i jednu implementacionu konvenciju bitnu za pouzdanost: dolazne teme i sadržaj poruka </w:t>
      </w:r>
      <w:r>
        <w:rPr>
          <w:i/>
        </w:rPr>
        <w:t>nisu</w:t>
      </w:r>
      <w:r>
        <w:t xml:space="preserve"> null-terminisani, pa se poređenje uvek radi po eksplicitnoj dužini (</w:t>
      </w:r>
      <w:r>
        <w:rPr>
          <w:rFonts w:ascii="Consolas" w:hAnsi="Consolas"/>
          <w:sz w:val="21"/>
        </w:rPr>
        <w:t>strncmp</w:t>
      </w:r>
      <w:r>
        <w:t xml:space="preserve"> uz proveru dužine), nikada nad sirovim pokazivačem.</w:t>
      </w:r>
    </w:p>
    <w:p>
      <w:pPr>
        <w:pStyle w:val="Heading2"/>
        <w:keepNext/>
      </w:pPr>
      <w:r>
        <w:t>Bezbednosni model</w:t>
      </w:r>
    </w:p>
    <w:p>
      <w:r>
        <w:t xml:space="preserve">U svom osnovnom obliku </w:t>
      </w:r>
      <w:r>
        <w:rPr>
          <w:i/>
        </w:rPr>
        <w:t>MQTT</w:t>
      </w:r>
      <w:r>
        <w:t xml:space="preserve"> saobraćaj nije šifrovan. Na portu 1883 sve — nazivi tema, korisni sadržaj poruka i, presudno, kredencijali za pristup brokeru (korisničko ime i lozinka) — putuje u čistom tekstu. Bilo koji učesnik na lokalnoj mreži može pasivno da presretne taj saobraćaj i pročita ga. Zbog toga čvor esp2 komunicira preko </w:t>
      </w:r>
      <w:r>
        <w:rPr>
          <w:i/>
        </w:rPr>
        <w:t>MQTTS</w:t>
      </w:r>
      <w:r>
        <w:t xml:space="preserve">-a na portu 8883: isti </w:t>
      </w:r>
      <w:r>
        <w:rPr>
          <w:i/>
        </w:rPr>
        <w:t>MQTT</w:t>
      </w:r>
      <w:r>
        <w:t xml:space="preserve"> protokol, ali unutar </w:t>
      </w:r>
      <w:r>
        <w:rPr>
          <w:i/>
        </w:rPr>
        <w:t>TLS</w:t>
      </w:r>
      <w:r>
        <w:t xml:space="preserve"> tunela.</w:t>
      </w:r>
    </w:p>
    <w:p>
      <w:r>
        <w:t xml:space="preserve">Na kanalu čvora esp2 </w:t>
      </w:r>
      <w:r>
        <w:rPr>
          <w:i/>
        </w:rPr>
        <w:t>TLS</w:t>
      </w:r>
      <w:r>
        <w:t xml:space="preserve"> obezbeđuje četiri svojstva. </w:t>
      </w:r>
      <w:r>
        <w:rPr>
          <w:i/>
        </w:rPr>
        <w:t>Poverljivost</w:t>
      </w:r>
      <w:r>
        <w:t xml:space="preserve"> — sadržaj je šifrovan simetričnom šifrom </w:t>
      </w:r>
      <w:r>
        <w:rPr>
          <w:i/>
        </w:rPr>
        <w:t>AES-256-GCM</w:t>
      </w:r>
      <w:r>
        <w:t xml:space="preserve">. </w:t>
      </w:r>
      <w:r>
        <w:rPr>
          <w:i/>
        </w:rPr>
        <w:t>Integritet</w:t>
      </w:r>
      <w:r>
        <w:t xml:space="preserve"> — svaki </w:t>
      </w:r>
      <w:r>
        <w:rPr>
          <w:i/>
        </w:rPr>
        <w:t>TLS</w:t>
      </w:r>
      <w:r>
        <w:t xml:space="preserve"> zapis nosi </w:t>
      </w:r>
      <w:r>
        <w:rPr>
          <w:i/>
        </w:rPr>
        <w:t>Authenticated Encryption with Associated Data (AEAD)</w:t>
      </w:r>
      <w:r>
        <w:t xml:space="preserve"> oznaku autentičnosti (16 bajtova), pa je svaka izmena u prenosu otkrivena. </w:t>
      </w:r>
      <w:r>
        <w:rPr>
          <w:i/>
        </w:rPr>
        <w:t>Autentičnost servera</w:t>
      </w:r>
      <w:r>
        <w:t xml:space="preserve"> — čvor verifikuje serverski sertifikat protiv ugrađenog </w:t>
      </w:r>
      <w:r>
        <w:rPr>
          <w:rFonts w:ascii="Consolas" w:hAnsi="Consolas"/>
          <w:sz w:val="21"/>
        </w:rPr>
        <w:t>ca.crt</w:t>
      </w:r>
      <w:r>
        <w:t xml:space="preserve">, pa napad tipa „čovek u sredini" bez privatnog ključa tog izdavaoca (CA) nije moguć. </w:t>
      </w:r>
      <w:r>
        <w:rPr>
          <w:i/>
        </w:rPr>
        <w:t>Forward secrecy</w:t>
      </w:r>
      <w:r>
        <w:t xml:space="preserve"> — razmena ključeva koristi efemerni </w:t>
      </w:r>
      <w:r>
        <w:rPr>
          <w:i/>
        </w:rPr>
        <w:t>ECDHE</w:t>
      </w:r>
      <w:r>
        <w:t xml:space="preserve">. Puna verifikacija identiteta potvrđena je nezavisno (Verify return code: 0), sa serverskim sertifikatom </w:t>
      </w:r>
      <w:r>
        <w:rPr>
          <w:rFonts w:ascii="Consolas" w:hAnsi="Consolas"/>
          <w:sz w:val="21"/>
        </w:rPr>
        <w:t>CN=pihome.local</w:t>
      </w:r>
      <w:r>
        <w:t xml:space="preserve"> i adresom u polju SAN (</w:t>
      </w:r>
      <w:r>
        <w:rPr>
          <w:rFonts w:ascii="Consolas" w:hAnsi="Consolas"/>
          <w:sz w:val="21"/>
        </w:rPr>
        <w:t>IP:192.168.0.10</w:t>
      </w:r>
      <w:r>
        <w:t xml:space="preserve">). Pregovoreni cipher paket je </w:t>
      </w:r>
      <w:r>
        <w:rPr>
          <w:rFonts w:ascii="Consolas" w:hAnsi="Consolas"/>
          <w:sz w:val="21"/>
        </w:rPr>
        <w:t>ECDHE-RSA-AES256-GCM-SHA384</w:t>
      </w:r>
      <w:r>
        <w:t xml:space="preserve"> pod </w:t>
      </w:r>
      <w:r>
        <w:rPr>
          <w:i/>
        </w:rPr>
        <w:t>TLS 1.2</w:t>
      </w:r>
      <w:r>
        <w:t>, uz hardversko ubrzanje AES/SHA na uređaju.</w:t>
      </w:r>
    </w:p>
    <w:p>
      <w:pPr>
        <w:spacing w:before="80" w:after="80"/>
        <w:jc w:val="left"/>
        <w:keepNext/>
      </w:pPr>
      <w:r>
        <w:rPr>
          <w:b/>
          <w:i/>
          <w:sz w:val="19"/>
        </w:rPr>
        <w:t xml:space="preserve">Tabela 6. </w:t>
      </w:r>
      <w:r>
        <w:rPr>
          <w:i/>
          <w:sz w:val="19"/>
        </w:rPr>
        <w:t>Bezbednosna svojstva plain (1883) i MQTTS (8883) kanala</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Svojstvo</w:t>
            </w:r>
          </w:p>
        </w:tc>
        <w:tc>
          <w:tcPr>
            <w:tcW w:type="dxa" w:w="2929"/>
            <w:shd w:val="clear" w:color="auto" w:fill="1f3864"/>
            <w:vAlign w:val="center"/>
          </w:tcPr>
          <w:p>
            <w:pPr>
              <w:spacing w:after="40" w:before="40"/>
              <w:jc w:val="center"/>
            </w:pPr>
            <w:r>
              <w:rPr>
                <w:b/>
                <w:color w:val="FFFFFF"/>
                <w:sz w:val="19"/>
              </w:rPr>
              <w:t>1883 (plain)</w:t>
            </w:r>
          </w:p>
        </w:tc>
        <w:tc>
          <w:tcPr>
            <w:tcW w:type="dxa" w:w="2929"/>
            <w:shd w:val="clear" w:color="auto" w:fill="1f3864"/>
            <w:vAlign w:val="center"/>
          </w:tcPr>
          <w:p>
            <w:pPr>
              <w:spacing w:after="40" w:before="40"/>
              <w:jc w:val="center"/>
            </w:pPr>
            <w:r>
              <w:rPr>
                <w:b/>
                <w:color w:val="FFFFFF"/>
                <w:sz w:val="19"/>
              </w:rPr>
              <w:t>8883 (MQTTS)</w:t>
            </w:r>
          </w:p>
        </w:tc>
      </w:tr>
      <w:tr>
        <w:tc>
          <w:tcPr>
            <w:tcW w:type="dxa" w:w="2929"/>
            <w:vAlign w:val="center"/>
          </w:tcPr>
          <w:p>
            <w:pPr>
              <w:spacing w:after="20" w:before="20"/>
            </w:pPr>
            <w:r>
              <w:rPr>
                <w:b/>
                <w:sz w:val="19"/>
              </w:rPr>
              <w:t>Poverljivost sadržaja</w:t>
            </w:r>
          </w:p>
        </w:tc>
        <w:tc>
          <w:tcPr>
            <w:tcW w:type="dxa" w:w="2929"/>
            <w:vAlign w:val="center"/>
          </w:tcPr>
          <w:p>
            <w:pPr>
              <w:spacing w:after="20" w:before="20"/>
            </w:pPr>
            <w:r>
              <w:rPr>
                <w:sz w:val="19"/>
              </w:rPr>
              <w:t>izloženo (čist tekst)</w:t>
            </w:r>
          </w:p>
        </w:tc>
        <w:tc>
          <w:tcPr>
            <w:tcW w:type="dxa" w:w="2929"/>
            <w:vAlign w:val="center"/>
          </w:tcPr>
          <w:p>
            <w:pPr>
              <w:spacing w:after="20" w:before="20"/>
            </w:pPr>
            <w:r>
              <w:rPr>
                <w:sz w:val="19"/>
              </w:rPr>
              <w:t>zaštićeno (AES-256-GCM)</w:t>
            </w:r>
          </w:p>
        </w:tc>
      </w:tr>
      <w:tr>
        <w:tc>
          <w:tcPr>
            <w:tcW w:type="dxa" w:w="2929"/>
            <w:vAlign w:val="center"/>
          </w:tcPr>
          <w:p>
            <w:pPr>
              <w:spacing w:after="20" w:before="20"/>
            </w:pPr>
            <w:r>
              <w:rPr>
                <w:b/>
                <w:sz w:val="19"/>
              </w:rPr>
              <w:t>Kredencijali (korisnik/lozinka)</w:t>
            </w:r>
          </w:p>
        </w:tc>
        <w:tc>
          <w:tcPr>
            <w:tcW w:type="dxa" w:w="2929"/>
            <w:vAlign w:val="center"/>
          </w:tcPr>
          <w:p>
            <w:pPr>
              <w:spacing w:after="20" w:before="20"/>
            </w:pPr>
            <w:r>
              <w:rPr>
                <w:sz w:val="19"/>
              </w:rPr>
              <w:t>vidljivi golim okom</w:t>
            </w:r>
          </w:p>
        </w:tc>
        <w:tc>
          <w:tcPr>
            <w:tcW w:type="dxa" w:w="2929"/>
            <w:vAlign w:val="center"/>
          </w:tcPr>
          <w:p>
            <w:pPr>
              <w:spacing w:after="20" w:before="20"/>
            </w:pPr>
            <w:r>
              <w:rPr>
                <w:sz w:val="19"/>
              </w:rPr>
              <w:t>šifrovani (TLS Application Data)</w:t>
            </w:r>
          </w:p>
        </w:tc>
      </w:tr>
      <w:tr>
        <w:tc>
          <w:tcPr>
            <w:tcW w:type="dxa" w:w="2929"/>
            <w:vAlign w:val="center"/>
          </w:tcPr>
          <w:p>
            <w:pPr>
              <w:spacing w:after="20" w:before="20"/>
            </w:pPr>
            <w:r>
              <w:rPr>
                <w:b/>
                <w:sz w:val="19"/>
              </w:rPr>
              <w:t>Integritet poruke</w:t>
            </w:r>
          </w:p>
        </w:tc>
        <w:tc>
          <w:tcPr>
            <w:tcW w:type="dxa" w:w="2929"/>
            <w:vAlign w:val="center"/>
          </w:tcPr>
          <w:p>
            <w:pPr>
              <w:spacing w:after="20" w:before="20"/>
            </w:pPr>
            <w:r>
              <w:rPr>
                <w:sz w:val="19"/>
              </w:rPr>
              <w:t>bez zaštite</w:t>
            </w:r>
          </w:p>
        </w:tc>
        <w:tc>
          <w:tcPr>
            <w:tcW w:type="dxa" w:w="2929"/>
            <w:vAlign w:val="center"/>
          </w:tcPr>
          <w:p>
            <w:pPr>
              <w:spacing w:after="20" w:before="20"/>
            </w:pPr>
            <w:r>
              <w:rPr>
                <w:sz w:val="19"/>
              </w:rPr>
              <w:t>AEAD oznaka autentičnosti (16 B)</w:t>
            </w:r>
          </w:p>
        </w:tc>
      </w:tr>
      <w:tr>
        <w:tc>
          <w:tcPr>
            <w:tcW w:type="dxa" w:w="2929"/>
            <w:vAlign w:val="center"/>
          </w:tcPr>
          <w:p>
            <w:pPr>
              <w:spacing w:after="20" w:before="20"/>
            </w:pPr>
            <w:r>
              <w:rPr>
                <w:b/>
                <w:sz w:val="19"/>
              </w:rPr>
              <w:t>Autentičnost servera</w:t>
            </w:r>
          </w:p>
        </w:tc>
        <w:tc>
          <w:tcPr>
            <w:tcW w:type="dxa" w:w="2929"/>
            <w:vAlign w:val="center"/>
          </w:tcPr>
          <w:p>
            <w:pPr>
              <w:spacing w:after="20" w:before="20"/>
            </w:pPr>
            <w:r>
              <w:rPr>
                <w:sz w:val="19"/>
              </w:rPr>
              <w:t>nema</w:t>
            </w:r>
          </w:p>
        </w:tc>
        <w:tc>
          <w:tcPr>
            <w:tcW w:type="dxa" w:w="2929"/>
            <w:vAlign w:val="center"/>
          </w:tcPr>
          <w:p>
            <w:pPr>
              <w:spacing w:after="20" w:before="20"/>
            </w:pPr>
            <w:r>
              <w:rPr>
                <w:sz w:val="19"/>
              </w:rPr>
              <w:t>verifikacija lanca protiv ugrađenog CA</w:t>
            </w:r>
          </w:p>
        </w:tc>
      </w:tr>
      <w:tr>
        <w:tc>
          <w:tcPr>
            <w:tcW w:type="dxa" w:w="2929"/>
            <w:vAlign w:val="center"/>
          </w:tcPr>
          <w:p>
            <w:pPr>
              <w:spacing w:after="20" w:before="20"/>
            </w:pPr>
            <w:r>
              <w:rPr>
                <w:b/>
                <w:sz w:val="19"/>
              </w:rPr>
              <w:t>Forward secrecy</w:t>
            </w:r>
          </w:p>
        </w:tc>
        <w:tc>
          <w:tcPr>
            <w:tcW w:type="dxa" w:w="2929"/>
            <w:vAlign w:val="center"/>
          </w:tcPr>
          <w:p>
            <w:pPr>
              <w:spacing w:after="20" w:before="20"/>
            </w:pPr>
            <w:r>
              <w:rPr>
                <w:sz w:val="19"/>
              </w:rPr>
              <w:t>—</w:t>
            </w:r>
          </w:p>
        </w:tc>
        <w:tc>
          <w:tcPr>
            <w:tcW w:type="dxa" w:w="2929"/>
            <w:vAlign w:val="center"/>
          </w:tcPr>
          <w:p>
            <w:pPr>
              <w:spacing w:after="20" w:before="20"/>
            </w:pPr>
            <w:r>
              <w:rPr>
                <w:sz w:val="19"/>
              </w:rPr>
              <w:t>ECDHE (efemerni ključevi)</w:t>
            </w:r>
          </w:p>
        </w:tc>
      </w:tr>
    </w:tbl>
    <w:p>
      <w:r>
        <w:t xml:space="preserve">Kontrast između dva kanala neposredno je uočljiv na nivou paketa: rekonstrukcija toka nad saobraćajem porta 1883 golim okom otkriva teme, korisne sadržaje i </w:t>
      </w:r>
      <w:r>
        <w:rPr>
          <w:i/>
        </w:rPr>
        <w:t>MQTT</w:t>
      </w:r>
      <w:r>
        <w:t xml:space="preserve"> kredencijale (korisničko ime </w:t>
      </w:r>
      <w:r>
        <w:rPr>
          <w:rFonts w:ascii="Consolas" w:hAnsi="Consolas"/>
          <w:sz w:val="21"/>
        </w:rPr>
        <w:t>homeuser</w:t>
      </w:r>
      <w:r>
        <w:t xml:space="preserve"> i pripadajuću lozinku) u čistom tekstu, dok je na portu 8883 sve nečitljiv </w:t>
      </w:r>
      <w:r>
        <w:rPr>
          <w:i/>
        </w:rPr>
        <w:t>TLS</w:t>
      </w:r>
      <w:r>
        <w:t xml:space="preserve"> Application Data. Detaljna analiza saobraćaja i taj bezbednosni dokaz razrađuju se u poglavlju o analizi mrežnog saobraćaja.</w:t>
      </w:r>
    </w:p>
    <w:p>
      <w:r>
        <w:t xml:space="preserve">Domet </w:t>
      </w:r>
      <w:r>
        <w:rPr>
          <w:i/>
        </w:rPr>
        <w:t>TLS</w:t>
      </w:r>
      <w:r>
        <w:t xml:space="preserve"> zaštite ograničen je na deonicu čvor–broker. Deonica broker–kontroler odvija se lokalno preko loopback veze na portu 1883, pa broker dekriptuje esp2 saobraćaj i prosleđuje ga kontroleru u čistom tekstu unutar istog uređaja. Ovakav model je uobičajen i prihvatljiv za lokalno čvorište, jer osetljiva deonica preko mreže (bežična) ostaje zaštićena, dok komunikacija unutar samog Raspberry Pi-ja ne napušta uređaj.</w:t>
      </w:r>
    </w:p>
    <w:p>
      <w:pPr>
        <w:pStyle w:val="IntenseQuote"/>
      </w:pPr>
      <w:r>
        <w:t>Uprkos merljivim opterećenjima (RAM, latencija/veličina paketa, vreme handshake-a), degradacija performansi ostaje unutar prihvatljivih granica (odziv &lt; 200 ms) za normalno funkcionisanje Smart Home sistema — bezbednost se drastično povećava bez narušavanja korisničkog iskustva.</w:t>
      </w:r>
    </w:p>
    <w:p>
      <w:r>
        <w:t xml:space="preserve">Ovako postavljen bezbednosni model motiviše mernu studiju: </w:t>
      </w:r>
      <w:r>
        <w:rPr>
          <w:i/>
        </w:rPr>
        <w:t>TLS</w:t>
      </w:r>
      <w:r>
        <w:t xml:space="preserve"> drastično podiže nivo zaštite, ali to nije besplatno. Zadatak koji sledi jeste da se taj trošak izmeri i da se pokaže ključna distinkcija — postoje dva različita troška, jednokratni trošak uspostavljanja veze (</w:t>
      </w:r>
      <w:r>
        <w:rPr>
          <w:i/>
        </w:rPr>
        <w:t>TLS</w:t>
      </w:r>
      <w:r>
        <w:t xml:space="preserve"> handshake) i trošak po komandi u ustaljenom stanju — pri čemu se hipotezna granica od 200 ms odnosi na ovaj drugi. Kvantifikacija oba troška i provera hipoteze predmet su narednih poglavlja.</w:t>
      </w:r>
    </w:p>
    <w:p>
      <w:r>
        <w:br w:type="page"/>
      </w:r>
    </w:p>
    <w:p>
      <w:pPr>
        <w:pStyle w:val="Heading1"/>
        <w:keepNext/>
      </w:pPr>
      <w:r>
        <w:t>Opis komponenti</w:t>
      </w:r>
    </w:p>
    <w:p>
      <w:r>
        <w:t xml:space="preserve">Pošto je u prethodnom poglavlju sistem opisan na nivou arhitekture — topologija, uloge čvorova i tok podataka — ovo poglavlje spušta pogled na pojedinačne komponente od kojih je sistem sastavljen. Redom se razmatraju hardverske komponente (dva čvora zasnovana na platformi </w:t>
      </w:r>
      <w:r>
        <w:rPr>
          <w:i/>
        </w:rPr>
        <w:t>ESP32</w:t>
      </w:r>
      <w:r>
        <w:t xml:space="preserve"> i Raspberry Pi kao čvorište), potom softverske komponente (firmver, njegova deljena osnova i build sistem), zatim kriptografska priprema na strani brokera, i najzad podsistem za daljinsku nadogradnju firmvera. Cilj je da se za svaku komponentu navedu njena stvarna, izmerena svojstva i uloga koju ima u mernoj studiji enkriptovanog protokola </w:t>
      </w:r>
      <w:r>
        <w:rPr>
          <w:i/>
        </w:rPr>
        <w:t>MQTT</w:t>
      </w:r>
      <w:r>
        <w:t>.</w:t>
      </w:r>
    </w:p>
    <w:p>
      <w:pPr>
        <w:pStyle w:val="Heading2"/>
        <w:keepNext/>
      </w:pPr>
      <w:r>
        <w:t>Hardverske komponente</w:t>
      </w:r>
    </w:p>
    <w:p>
      <w:r>
        <w:t xml:space="preserve">Sistem se sastoji od tri fizička uređaja: dva mikrokontrolerska čvora i jednog jednopločnog računara koji istovremeno nosi broker poruka i centralni kontroler. Svi podaci navedeni u nastavku očitani su uživo sa opreme — sa čvorova alatom </w:t>
      </w:r>
      <w:r>
        <w:rPr>
          <w:rFonts w:ascii="Consolas" w:hAnsi="Consolas"/>
          <w:sz w:val="21"/>
        </w:rPr>
        <w:t>esptool</w:t>
      </w:r>
      <w:r>
        <w:t xml:space="preserve"> i iz serijskog (konzolnog) dnevnika pri pokretanju, a sa Raspberry Pi-ja preko sistemskih upita — pa opis odražava stvarnu, a ne nominalnu konfiguraciju.</w:t>
      </w:r>
    </w:p>
    <w:p>
      <w:pPr>
        <w:pStyle w:val="Heading3"/>
        <w:keepNext/>
      </w:pPr>
      <w:r>
        <w:t>ESP32 čvorovi</w:t>
      </w:r>
    </w:p>
    <w:p>
      <w:r>
        <w:t xml:space="preserve">Oba čvora zasnovana su na platformi </w:t>
      </w:r>
      <w:r>
        <w:rPr>
          <w:i/>
        </w:rPr>
        <w:t>ESP32</w:t>
      </w:r>
      <w:r>
        <w:t xml:space="preserve"> kompanije Espressif — sistemu na čipu (engl. </w:t>
      </w:r>
      <w:r>
        <w:rPr>
          <w:i/>
        </w:rPr>
        <w:t>System on Chip</w:t>
      </w:r>
      <w:r>
        <w:t xml:space="preserve">, SoC) namenjenom Internetu stvari. Zajednička obeležja oba primerka jesu dvojezgarni procesor arhitekture </w:t>
      </w:r>
      <w:r>
        <w:rPr>
          <w:i/>
        </w:rPr>
        <w:t>Xtensa LX6</w:t>
      </w:r>
      <w:r>
        <w:t xml:space="preserve"> na radnoj učestanosti do 240 MHz, spoljni kristal oscilatora od 40 MHz, 4 MB fleš memorije za program i integrisan Wi-Fi modul. Za ovaj rad posebno je važno da </w:t>
      </w:r>
      <w:r>
        <w:rPr>
          <w:i/>
        </w:rPr>
        <w:t>ESP32</w:t>
      </w:r>
      <w:r>
        <w:t xml:space="preserve"> poseduje namensko </w:t>
      </w:r>
      <w:r>
        <w:rPr>
          <w:i/>
        </w:rPr>
        <w:t>hardversko ubrzanje kriptografskih operacija</w:t>
      </w:r>
      <w:r>
        <w:t xml:space="preserve"> — blokove za </w:t>
      </w:r>
      <w:r>
        <w:rPr>
          <w:i/>
        </w:rPr>
        <w:t>Advanced Encryption Standard (AES)</w:t>
      </w:r>
      <w:r>
        <w:t xml:space="preserve"> i heš-funkcije familije </w:t>
      </w:r>
      <w:r>
        <w:rPr>
          <w:i/>
        </w:rPr>
        <w:t>Secure Hash Algorithm (SHA)</w:t>
      </w:r>
      <w:r>
        <w:t xml:space="preserve"> — jer upravo ono čini da simetrično šifrovanje pojedinačne poruke u ustaljenom stanju bude jeftino, dok glavni trošak zaštite ostaje jednokratno rukovanje pri uspostavljanju veze.</w:t>
      </w:r>
    </w:p>
    <w:p>
      <w:r>
        <w:t xml:space="preserve">Uprkos zajedničkoj osnovi, dva čvora nisu izgrađena na istom modulu, što je namerno: heterogenost pokazuje da deljeni firmver radi na različitim izvedbama iste platforme. Referentni čvor </w:t>
      </w:r>
      <w:r>
        <w:rPr>
          <w:rFonts w:ascii="Consolas" w:hAnsi="Consolas"/>
          <w:sz w:val="21"/>
        </w:rPr>
        <w:t>esp1_lights</w:t>
      </w:r>
      <w:r>
        <w:t xml:space="preserve"> počiva na modulu </w:t>
      </w:r>
      <w:r>
        <w:rPr>
          <w:i/>
        </w:rPr>
        <w:t>ESP32-D0WDQ6</w:t>
      </w:r>
      <w:r>
        <w:t xml:space="preserve"> (izvedba </w:t>
      </w:r>
      <w:r>
        <w:rPr>
          <w:i/>
        </w:rPr>
        <w:t>WROOM</w:t>
      </w:r>
      <w:r>
        <w:t xml:space="preserve">) i preko </w:t>
      </w:r>
      <w:r>
        <w:rPr>
          <w:i/>
        </w:rPr>
        <w:t>USB</w:t>
      </w:r>
      <w:r>
        <w:t xml:space="preserve"> veze se sa računarom povezuje mostom </w:t>
      </w:r>
      <w:r>
        <w:rPr>
          <w:i/>
        </w:rPr>
        <w:t>CP2102</w:t>
      </w:r>
      <w:r>
        <w:t xml:space="preserve"> proizvođača Silicon Labs. Čvor </w:t>
      </w:r>
      <w:r>
        <w:rPr>
          <w:rFonts w:ascii="Consolas" w:hAnsi="Consolas"/>
          <w:sz w:val="21"/>
        </w:rPr>
        <w:t>esp2_temperature</w:t>
      </w:r>
      <w:r>
        <w:t xml:space="preserve">, koji je predmet analize, izgrađen je na razvojnoj ploči </w:t>
      </w:r>
      <w:r>
        <w:rPr>
          <w:i/>
        </w:rPr>
        <w:t>ESP-WROVER-KIT V4.1</w:t>
      </w:r>
      <w:r>
        <w:t xml:space="preserve"> sa čipom </w:t>
      </w:r>
      <w:r>
        <w:rPr>
          <w:i/>
        </w:rPr>
        <w:t>ESP32-D0WD</w:t>
      </w:r>
      <w:r>
        <w:t xml:space="preserve">, dodatnom </w:t>
      </w:r>
      <w:r>
        <w:rPr>
          <w:i/>
        </w:rPr>
        <w:t>PSRAM (Pseudo-Static RAM)</w:t>
      </w:r>
      <w:r>
        <w:t xml:space="preserve"> memorijom i ugrađenim </w:t>
      </w:r>
      <w:r>
        <w:rPr>
          <w:i/>
        </w:rPr>
        <w:t>LCD (Liquid Crystal Display)</w:t>
      </w:r>
      <w:r>
        <w:t xml:space="preserve"> ekranom, a ka računaru koristi dvokanalni most </w:t>
      </w:r>
      <w:r>
        <w:rPr>
          <w:i/>
        </w:rPr>
        <w:t>FT2232</w:t>
      </w:r>
      <w:r>
        <w:t xml:space="preserve"> proizvođača FTDI. Naredna tabela sažima podatke očitane alatom </w:t>
      </w:r>
      <w:r>
        <w:rPr>
          <w:rFonts w:ascii="Consolas" w:hAnsi="Consolas"/>
          <w:sz w:val="21"/>
        </w:rPr>
        <w:t>esptool</w:t>
      </w:r>
      <w:r>
        <w:t xml:space="preserve"> i iz dnevnika pokretanja.</w:t>
      </w:r>
    </w:p>
    <w:p>
      <w:pPr>
        <w:spacing w:before="80" w:after="80"/>
        <w:jc w:val="left"/>
        <w:keepNext/>
      </w:pPr>
      <w:r>
        <w:rPr>
          <w:b/>
          <w:i/>
          <w:sz w:val="19"/>
        </w:rPr>
        <w:t xml:space="preserve">Tabela 7. </w:t>
      </w:r>
      <w:r>
        <w:rPr>
          <w:i/>
          <w:sz w:val="19"/>
        </w:rPr>
        <w:t>Uporedni pregled dva ESP32 čvora (uživo očitano alatom esptool)</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Karakteristika</w:t>
            </w:r>
          </w:p>
        </w:tc>
        <w:tc>
          <w:tcPr>
            <w:tcW w:type="dxa" w:w="2929"/>
            <w:shd w:val="clear" w:color="auto" w:fill="1f3864"/>
            <w:vAlign w:val="center"/>
          </w:tcPr>
          <w:p>
            <w:pPr>
              <w:spacing w:after="40" w:before="40"/>
              <w:jc w:val="center"/>
            </w:pPr>
            <w:r>
              <w:rPr>
                <w:b/>
                <w:color w:val="FFFFFF"/>
                <w:sz w:val="19"/>
              </w:rPr>
              <w:t>esp1_lights</w:t>
            </w:r>
          </w:p>
        </w:tc>
        <w:tc>
          <w:tcPr>
            <w:tcW w:type="dxa" w:w="2929"/>
            <w:shd w:val="clear" w:color="auto" w:fill="1f3864"/>
            <w:vAlign w:val="center"/>
          </w:tcPr>
          <w:p>
            <w:pPr>
              <w:spacing w:after="40" w:before="40"/>
              <w:jc w:val="center"/>
            </w:pPr>
            <w:r>
              <w:rPr>
                <w:b/>
                <w:color w:val="FFFFFF"/>
                <w:sz w:val="19"/>
              </w:rPr>
              <w:t>esp2_temperature</w:t>
            </w:r>
          </w:p>
        </w:tc>
      </w:tr>
      <w:tr>
        <w:tc>
          <w:tcPr>
            <w:tcW w:type="dxa" w:w="2929"/>
            <w:vAlign w:val="center"/>
          </w:tcPr>
          <w:p>
            <w:pPr>
              <w:spacing w:after="20" w:before="20"/>
            </w:pPr>
            <w:r>
              <w:rPr>
                <w:b/>
                <w:sz w:val="19"/>
              </w:rPr>
              <w:t>Čip (SoC)</w:t>
            </w:r>
          </w:p>
        </w:tc>
        <w:tc>
          <w:tcPr>
            <w:tcW w:type="dxa" w:w="2929"/>
            <w:vAlign w:val="center"/>
          </w:tcPr>
          <w:p>
            <w:pPr>
              <w:spacing w:after="20" w:before="20"/>
            </w:pPr>
            <w:r>
              <w:rPr>
                <w:sz w:val="19"/>
              </w:rPr>
              <w:t>ESP32-D0WDQ6, rev. v0.0</w:t>
            </w:r>
          </w:p>
        </w:tc>
        <w:tc>
          <w:tcPr>
            <w:tcW w:type="dxa" w:w="2929"/>
            <w:vAlign w:val="center"/>
          </w:tcPr>
          <w:p>
            <w:pPr>
              <w:spacing w:after="20" w:before="20"/>
            </w:pPr>
            <w:r>
              <w:rPr>
                <w:sz w:val="19"/>
              </w:rPr>
              <w:t>ESP32-D0WD, rev. v1.0</w:t>
            </w:r>
          </w:p>
        </w:tc>
      </w:tr>
      <w:tr>
        <w:tc>
          <w:tcPr>
            <w:tcW w:type="dxa" w:w="2929"/>
            <w:vAlign w:val="center"/>
          </w:tcPr>
          <w:p>
            <w:pPr>
              <w:spacing w:after="20" w:before="20"/>
            </w:pPr>
            <w:r>
              <w:rPr>
                <w:b/>
                <w:sz w:val="19"/>
              </w:rPr>
              <w:t>Modul / ploča</w:t>
            </w:r>
          </w:p>
        </w:tc>
        <w:tc>
          <w:tcPr>
            <w:tcW w:type="dxa" w:w="2929"/>
            <w:vAlign w:val="center"/>
          </w:tcPr>
          <w:p>
            <w:pPr>
              <w:spacing w:after="20" w:before="20"/>
            </w:pPr>
            <w:r>
              <w:rPr>
                <w:sz w:val="19"/>
              </w:rPr>
              <w:t>WROOM</w:t>
            </w:r>
          </w:p>
        </w:tc>
        <w:tc>
          <w:tcPr>
            <w:tcW w:type="dxa" w:w="2929"/>
            <w:vAlign w:val="center"/>
          </w:tcPr>
          <w:p>
            <w:pPr>
              <w:spacing w:after="20" w:before="20"/>
            </w:pPr>
            <w:r>
              <w:rPr>
                <w:sz w:val="19"/>
              </w:rPr>
              <w:t>ESP-WROVER-KIT V4.1 (sa PSRAM)</w:t>
            </w:r>
          </w:p>
        </w:tc>
      </w:tr>
      <w:tr>
        <w:tc>
          <w:tcPr>
            <w:tcW w:type="dxa" w:w="2929"/>
            <w:vAlign w:val="center"/>
          </w:tcPr>
          <w:p>
            <w:pPr>
              <w:spacing w:after="20" w:before="20"/>
            </w:pPr>
            <w:r>
              <w:rPr>
                <w:b/>
                <w:sz w:val="19"/>
              </w:rPr>
              <w:t>Procesor</w:t>
            </w:r>
          </w:p>
        </w:tc>
        <w:tc>
          <w:tcPr>
            <w:tcW w:type="dxa" w:w="2929"/>
            <w:vAlign w:val="center"/>
          </w:tcPr>
          <w:p>
            <w:pPr>
              <w:spacing w:after="20" w:before="20"/>
            </w:pPr>
            <w:r>
              <w:rPr>
                <w:sz w:val="19"/>
              </w:rPr>
              <w:t>dvojezgarni Xtensa LX6 @ 240 MHz</w:t>
            </w:r>
          </w:p>
        </w:tc>
        <w:tc>
          <w:tcPr>
            <w:tcW w:type="dxa" w:w="2929"/>
            <w:vAlign w:val="center"/>
          </w:tcPr>
          <w:p>
            <w:pPr>
              <w:spacing w:after="20" w:before="20"/>
            </w:pPr>
            <w:r>
              <w:rPr>
                <w:sz w:val="19"/>
              </w:rPr>
              <w:t>dvojezgarni Xtensa LX6 @ 240 MHz</w:t>
            </w:r>
          </w:p>
        </w:tc>
      </w:tr>
      <w:tr>
        <w:tc>
          <w:tcPr>
            <w:tcW w:type="dxa" w:w="2929"/>
            <w:vAlign w:val="center"/>
          </w:tcPr>
          <w:p>
            <w:pPr>
              <w:spacing w:after="20" w:before="20"/>
            </w:pPr>
            <w:r>
              <w:rPr>
                <w:b/>
                <w:sz w:val="19"/>
              </w:rPr>
              <w:t>Kristal oscilatora</w:t>
            </w:r>
          </w:p>
        </w:tc>
        <w:tc>
          <w:tcPr>
            <w:tcW w:type="dxa" w:w="2929"/>
            <w:vAlign w:val="center"/>
          </w:tcPr>
          <w:p>
            <w:pPr>
              <w:spacing w:after="20" w:before="20"/>
            </w:pPr>
            <w:r>
              <w:rPr>
                <w:sz w:val="19"/>
              </w:rPr>
              <w:t>40 MHz</w:t>
            </w:r>
          </w:p>
        </w:tc>
        <w:tc>
          <w:tcPr>
            <w:tcW w:type="dxa" w:w="2929"/>
            <w:vAlign w:val="center"/>
          </w:tcPr>
          <w:p>
            <w:pPr>
              <w:spacing w:after="20" w:before="20"/>
            </w:pPr>
            <w:r>
              <w:rPr>
                <w:sz w:val="19"/>
              </w:rPr>
              <w:t>40 MHz</w:t>
            </w:r>
          </w:p>
        </w:tc>
      </w:tr>
      <w:tr>
        <w:tc>
          <w:tcPr>
            <w:tcW w:type="dxa" w:w="2929"/>
            <w:vAlign w:val="center"/>
          </w:tcPr>
          <w:p>
            <w:pPr>
              <w:spacing w:after="20" w:before="20"/>
            </w:pPr>
            <w:r>
              <w:rPr>
                <w:b/>
                <w:sz w:val="19"/>
              </w:rPr>
              <w:t>Fleš memorija</w:t>
            </w:r>
          </w:p>
        </w:tc>
        <w:tc>
          <w:tcPr>
            <w:tcW w:type="dxa" w:w="2929"/>
            <w:vAlign w:val="center"/>
          </w:tcPr>
          <w:p>
            <w:pPr>
              <w:spacing w:after="20" w:before="20"/>
            </w:pPr>
            <w:r>
              <w:rPr>
                <w:sz w:val="19"/>
              </w:rPr>
              <w:t>4 MB (GigaDevice)</w:t>
            </w:r>
          </w:p>
        </w:tc>
        <w:tc>
          <w:tcPr>
            <w:tcW w:type="dxa" w:w="2929"/>
            <w:vAlign w:val="center"/>
          </w:tcPr>
          <w:p>
            <w:pPr>
              <w:spacing w:after="20" w:before="20"/>
            </w:pPr>
            <w:r>
              <w:rPr>
                <w:sz w:val="19"/>
              </w:rPr>
              <w:t>4 MB (generički)</w:t>
            </w:r>
          </w:p>
        </w:tc>
      </w:tr>
      <w:tr>
        <w:tc>
          <w:tcPr>
            <w:tcW w:type="dxa" w:w="2929"/>
            <w:vAlign w:val="center"/>
          </w:tcPr>
          <w:p>
            <w:pPr>
              <w:spacing w:after="20" w:before="20"/>
            </w:pPr>
            <w:r>
              <w:rPr>
                <w:b/>
                <w:sz w:val="19"/>
              </w:rPr>
              <w:t>Dodatne osobine</w:t>
            </w:r>
          </w:p>
        </w:tc>
        <w:tc>
          <w:tcPr>
            <w:tcW w:type="dxa" w:w="2929"/>
            <w:vAlign w:val="center"/>
          </w:tcPr>
          <w:p>
            <w:pPr>
              <w:spacing w:after="20" w:before="20"/>
            </w:pPr>
            <w:r>
              <w:rPr>
                <w:sz w:val="19"/>
              </w:rPr>
              <w:t>Wi-Fi, Bluetooth, dva jezgra</w:t>
            </w:r>
          </w:p>
        </w:tc>
        <w:tc>
          <w:tcPr>
            <w:tcW w:type="dxa" w:w="2929"/>
            <w:vAlign w:val="center"/>
          </w:tcPr>
          <w:p>
            <w:pPr>
              <w:spacing w:after="20" w:before="20"/>
            </w:pPr>
            <w:r>
              <w:rPr>
                <w:sz w:val="19"/>
              </w:rPr>
              <w:t>Wi-Fi, Bluetooth, dva jezgra, VRef kalibracija</w:t>
            </w:r>
          </w:p>
        </w:tc>
      </w:tr>
      <w:tr>
        <w:tc>
          <w:tcPr>
            <w:tcW w:type="dxa" w:w="2929"/>
            <w:vAlign w:val="center"/>
          </w:tcPr>
          <w:p>
            <w:pPr>
              <w:spacing w:after="20" w:before="20"/>
            </w:pPr>
            <w:r>
              <w:rPr>
                <w:b/>
                <w:sz w:val="19"/>
              </w:rPr>
              <w:t>MAC adresa</w:t>
            </w:r>
          </w:p>
        </w:tc>
        <w:tc>
          <w:tcPr>
            <w:tcW w:type="dxa" w:w="2929"/>
            <w:vAlign w:val="center"/>
          </w:tcPr>
          <w:p>
            <w:pPr>
              <w:spacing w:after="20" w:before="20"/>
            </w:pPr>
            <w:r>
              <w:rPr>
                <w:sz w:val="19"/>
              </w:rPr>
              <w:t>30:ae:a4:02:f6:00</w:t>
            </w:r>
          </w:p>
        </w:tc>
        <w:tc>
          <w:tcPr>
            <w:tcW w:type="dxa" w:w="2929"/>
            <w:vAlign w:val="center"/>
          </w:tcPr>
          <w:p>
            <w:pPr>
              <w:spacing w:after="20" w:before="20"/>
            </w:pPr>
            <w:r>
              <w:rPr>
                <w:sz w:val="19"/>
              </w:rPr>
              <w:t>fc:f5:c4:45:05:f4</w:t>
            </w:r>
          </w:p>
        </w:tc>
      </w:tr>
      <w:tr>
        <w:tc>
          <w:tcPr>
            <w:tcW w:type="dxa" w:w="2929"/>
            <w:vAlign w:val="center"/>
          </w:tcPr>
          <w:p>
            <w:pPr>
              <w:spacing w:after="20" w:before="20"/>
            </w:pPr>
            <w:r>
              <w:rPr>
                <w:b/>
                <w:sz w:val="19"/>
              </w:rPr>
              <w:t>MQTT client id</w:t>
            </w:r>
          </w:p>
        </w:tc>
        <w:tc>
          <w:tcPr>
            <w:tcW w:type="dxa" w:w="2929"/>
            <w:vAlign w:val="center"/>
          </w:tcPr>
          <w:p>
            <w:pPr>
              <w:spacing w:after="20" w:before="20"/>
            </w:pPr>
            <w:r>
              <w:rPr>
                <w:sz w:val="19"/>
              </w:rPr>
              <w:t>ESP32_02F600</w:t>
            </w:r>
          </w:p>
        </w:tc>
        <w:tc>
          <w:tcPr>
            <w:tcW w:type="dxa" w:w="2929"/>
            <w:vAlign w:val="center"/>
          </w:tcPr>
          <w:p>
            <w:pPr>
              <w:spacing w:after="20" w:before="20"/>
            </w:pPr>
            <w:r>
              <w:rPr>
                <w:sz w:val="19"/>
              </w:rPr>
              <w:t>ESP32_4505F4</w:t>
            </w:r>
          </w:p>
        </w:tc>
      </w:tr>
      <w:tr>
        <w:tc>
          <w:tcPr>
            <w:tcW w:type="dxa" w:w="2929"/>
            <w:vAlign w:val="center"/>
          </w:tcPr>
          <w:p>
            <w:pPr>
              <w:spacing w:after="20" w:before="20"/>
            </w:pPr>
            <w:r>
              <w:rPr>
                <w:b/>
                <w:sz w:val="19"/>
              </w:rPr>
              <w:t>USB most</w:t>
            </w:r>
          </w:p>
        </w:tc>
        <w:tc>
          <w:tcPr>
            <w:tcW w:type="dxa" w:w="2929"/>
            <w:vAlign w:val="center"/>
          </w:tcPr>
          <w:p>
            <w:pPr>
              <w:spacing w:after="20" w:before="20"/>
            </w:pPr>
            <w:r>
              <w:rPr>
                <w:sz w:val="19"/>
              </w:rPr>
              <w:t>Silicon Labs CP2102</w:t>
            </w:r>
          </w:p>
        </w:tc>
        <w:tc>
          <w:tcPr>
            <w:tcW w:type="dxa" w:w="2929"/>
            <w:vAlign w:val="center"/>
          </w:tcPr>
          <w:p>
            <w:pPr>
              <w:spacing w:after="20" w:before="20"/>
            </w:pPr>
            <w:r>
              <w:rPr>
                <w:sz w:val="19"/>
              </w:rPr>
              <w:t>FTDI FT2232 (JTAG + UART)</w:t>
            </w:r>
          </w:p>
        </w:tc>
      </w:tr>
      <w:tr>
        <w:tc>
          <w:tcPr>
            <w:tcW w:type="dxa" w:w="2929"/>
            <w:vAlign w:val="center"/>
          </w:tcPr>
          <w:p>
            <w:pPr>
              <w:spacing w:after="20" w:before="20"/>
            </w:pPr>
            <w:r>
              <w:rPr>
                <w:b/>
                <w:sz w:val="19"/>
              </w:rPr>
              <w:t>Ekran</w:t>
            </w:r>
          </w:p>
        </w:tc>
        <w:tc>
          <w:tcPr>
            <w:tcW w:type="dxa" w:w="2929"/>
            <w:vAlign w:val="center"/>
          </w:tcPr>
          <w:p>
            <w:pPr>
              <w:spacing w:after="20" w:before="20"/>
            </w:pPr>
            <w:r>
              <w:rPr>
                <w:sz w:val="19"/>
              </w:rPr>
              <w:t>—</w:t>
            </w:r>
          </w:p>
        </w:tc>
        <w:tc>
          <w:tcPr>
            <w:tcW w:type="dxa" w:w="2929"/>
            <w:vAlign w:val="center"/>
          </w:tcPr>
          <w:p>
            <w:pPr>
              <w:spacing w:after="20" w:before="20"/>
            </w:pPr>
            <w:r>
              <w:rPr>
                <w:sz w:val="19"/>
              </w:rPr>
              <w:t>ILI9341 (LCD)</w:t>
            </w:r>
          </w:p>
        </w:tc>
      </w:tr>
      <w:tr>
        <w:tc>
          <w:tcPr>
            <w:tcW w:type="dxa" w:w="2929"/>
            <w:vAlign w:val="center"/>
          </w:tcPr>
          <w:p>
            <w:pPr>
              <w:spacing w:after="20" w:before="20"/>
            </w:pPr>
            <w:r>
              <w:rPr>
                <w:b/>
                <w:sz w:val="19"/>
              </w:rPr>
              <w:t>Transport ka brokeru</w:t>
            </w:r>
          </w:p>
        </w:tc>
        <w:tc>
          <w:tcPr>
            <w:tcW w:type="dxa" w:w="2929"/>
            <w:vAlign w:val="center"/>
          </w:tcPr>
          <w:p>
            <w:pPr>
              <w:spacing w:after="20" w:before="20"/>
            </w:pPr>
            <w:r>
              <w:rPr>
                <w:sz w:val="19"/>
              </w:rPr>
              <w:t>plain MQTT, port 1883</w:t>
            </w:r>
          </w:p>
        </w:tc>
        <w:tc>
          <w:tcPr>
            <w:tcW w:type="dxa" w:w="2929"/>
            <w:vAlign w:val="center"/>
          </w:tcPr>
          <w:p>
            <w:pPr>
              <w:spacing w:after="20" w:before="20"/>
            </w:pPr>
            <w:r>
              <w:rPr>
                <w:sz w:val="19"/>
              </w:rPr>
              <w:t>MQTTS (TLS 1.2), port 8883</w:t>
            </w:r>
          </w:p>
        </w:tc>
      </w:tr>
      <w:tr>
        <w:tc>
          <w:tcPr>
            <w:tcW w:type="dxa" w:w="2929"/>
            <w:vAlign w:val="center"/>
          </w:tcPr>
          <w:p>
            <w:pPr>
              <w:spacing w:after="20" w:before="20"/>
            </w:pPr>
            <w:r>
              <w:rPr>
                <w:b/>
                <w:sz w:val="19"/>
              </w:rPr>
              <w:t>Uloga u sistemu</w:t>
            </w:r>
          </w:p>
        </w:tc>
        <w:tc>
          <w:tcPr>
            <w:tcW w:type="dxa" w:w="2929"/>
            <w:vAlign w:val="center"/>
          </w:tcPr>
          <w:p>
            <w:pPr>
              <w:spacing w:after="20" w:before="20"/>
            </w:pPr>
            <w:r>
              <w:rPr>
                <w:sz w:val="19"/>
              </w:rPr>
              <w:t>upravljanje relejima svetla</w:t>
            </w:r>
          </w:p>
        </w:tc>
        <w:tc>
          <w:tcPr>
            <w:tcW w:type="dxa" w:w="2929"/>
            <w:vAlign w:val="center"/>
          </w:tcPr>
          <w:p>
            <w:pPr>
              <w:spacing w:after="20" w:before="20"/>
            </w:pPr>
            <w:r>
              <w:rPr>
                <w:sz w:val="19"/>
              </w:rPr>
              <w:t>objava simuliranih temperatura</w:t>
            </w:r>
          </w:p>
        </w:tc>
      </w:tr>
    </w:tbl>
    <w:p>
      <w:r>
        <w:t xml:space="preserve">Adresa </w:t>
      </w:r>
      <w:r>
        <w:rPr>
          <w:i/>
        </w:rPr>
        <w:t>Media Access Control (MAC)</w:t>
      </w:r>
      <w:r>
        <w:t xml:space="preserve"> svakog čvora izvedena je i u njegov </w:t>
      </w:r>
      <w:r>
        <w:rPr>
          <w:i/>
        </w:rPr>
        <w:t>MQTT</w:t>
      </w:r>
      <w:r>
        <w:t xml:space="preserve"> identifikator klijenta (</w:t>
      </w:r>
      <w:r>
        <w:rPr>
          <w:rFonts w:ascii="Consolas" w:hAnsi="Consolas"/>
          <w:sz w:val="21"/>
        </w:rPr>
        <w:t>ESP32_02F600</w:t>
      </w:r>
      <w:r>
        <w:t xml:space="preserve">, odnosno </w:t>
      </w:r>
      <w:r>
        <w:rPr>
          <w:rFonts w:ascii="Consolas" w:hAnsi="Consolas"/>
          <w:sz w:val="21"/>
        </w:rPr>
        <w:t>ESP32_4505F4</w:t>
      </w:r>
      <w:r>
        <w:t xml:space="preserve">), pa se fizički uređaj može nedvosmisleno prepoznati i u dnevniku brokera i u snimku mrežnog saobraćaja — što je iskorišćeno kao dokaz da su sva merenja izvedena baš na ovoj opremi. Na strani čvora </w:t>
      </w:r>
      <w:r>
        <w:rPr>
          <w:rFonts w:ascii="Consolas" w:hAnsi="Consolas"/>
          <w:sz w:val="21"/>
        </w:rPr>
        <w:t>esp2</w:t>
      </w:r>
      <w:r>
        <w:t xml:space="preserve"> </w:t>
      </w:r>
      <w:r>
        <w:rPr>
          <w:rFonts w:ascii="Consolas" w:hAnsi="Consolas"/>
          <w:sz w:val="21"/>
        </w:rPr>
        <w:t>esptool</w:t>
      </w:r>
      <w:r>
        <w:t xml:space="preserve"> dodatno prijavljuje kalibraciju naponske reference (</w:t>
      </w:r>
      <w:r>
        <w:rPr>
          <w:i/>
        </w:rPr>
        <w:t>VRef</w:t>
      </w:r>
      <w:r>
        <w:t xml:space="preserve">), dok se dvokanalni most </w:t>
      </w:r>
      <w:r>
        <w:rPr>
          <w:i/>
        </w:rPr>
        <w:t>FT2232</w:t>
      </w:r>
      <w:r>
        <w:t xml:space="preserve"> ističe time što istovremeno pruža i serijski (UART) kanal i </w:t>
      </w:r>
      <w:r>
        <w:rPr>
          <w:i/>
        </w:rPr>
        <w:t>JTAG</w:t>
      </w:r>
      <w:r>
        <w:t xml:space="preserve"> pristup za otklanjanje grešaka.</w:t>
      </w:r>
    </w:p>
    <w:p>
      <w:pPr>
        <w:pStyle w:val="Heading3"/>
        <w:keepNext/>
      </w:pPr>
      <w:r>
        <w:t>Raspberry Pi — broker i host kontrolera</w:t>
      </w:r>
    </w:p>
    <w:p>
      <w:r>
        <w:t xml:space="preserve">Centralno čvorište sistema je jednopločni računar </w:t>
      </w:r>
      <w:r>
        <w:rPr>
          <w:i/>
        </w:rPr>
        <w:t>Raspberry Pi 4 Model B</w:t>
      </w:r>
      <w:r>
        <w:t xml:space="preserve"> (revizija 1.4), koji objedinjuje dve uloge: domaćin je broker poruka </w:t>
      </w:r>
      <w:r>
        <w:rPr>
          <w:i/>
        </w:rPr>
        <w:t>Eclipse Mosquitto</w:t>
      </w:r>
      <w:r>
        <w:t xml:space="preserve"> i istovremeno pokreće centralni kontroler </w:t>
      </w:r>
      <w:r>
        <w:rPr>
          <w:i/>
        </w:rPr>
        <w:t>Home Assistant</w:t>
      </w:r>
      <w:r>
        <w:t>. Za razliku od čvorova ograničenih resursa, ovaj uređaj raspolaže sa 7,6 GiB radne memorije i četvorojezgarnim 64-bitnim procesorom (arhitektura aarch64), pa mu ni broker ni kontroler ne predstavljaju značajno opterećenje; u trenutku snimanja zauzeće memorije iznosilo je oko 1,0 GiB, a temperatura čipa 48,7 °C. Naredna tabela daje pregled očitane konfiguracije.</w:t>
      </w:r>
    </w:p>
    <w:p>
      <w:pPr>
        <w:spacing w:before="80" w:after="80"/>
        <w:jc w:val="left"/>
        <w:keepNext/>
      </w:pPr>
      <w:r>
        <w:rPr>
          <w:b/>
          <w:i/>
          <w:sz w:val="19"/>
        </w:rPr>
        <w:t xml:space="preserve">Tabela 8. </w:t>
      </w:r>
      <w:r>
        <w:rPr>
          <w:i/>
          <w:sz w:val="19"/>
        </w:rPr>
        <w:t>Konfiguracija Raspberry Pi čvorišta (uživo očitano)</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shd w:val="clear" w:color="auto" w:fill="1f3864"/>
            <w:vAlign w:val="center"/>
          </w:tcPr>
          <w:p>
            <w:pPr>
              <w:spacing w:after="40" w:before="40"/>
              <w:jc w:val="center"/>
            </w:pPr>
            <w:r>
              <w:rPr>
                <w:b/>
                <w:color w:val="FFFFFF"/>
                <w:sz w:val="19"/>
              </w:rPr>
              <w:t>Stavka</w:t>
            </w:r>
          </w:p>
        </w:tc>
        <w:tc>
          <w:tcPr>
            <w:tcW w:type="dxa" w:w="4394"/>
            <w:shd w:val="clear" w:color="auto" w:fill="1f3864"/>
            <w:vAlign w:val="center"/>
          </w:tcPr>
          <w:p>
            <w:pPr>
              <w:spacing w:after="40" w:before="40"/>
              <w:jc w:val="center"/>
            </w:pPr>
            <w:r>
              <w:rPr>
                <w:b/>
                <w:color w:val="FFFFFF"/>
                <w:sz w:val="19"/>
              </w:rPr>
              <w:t>Vrednost</w:t>
            </w:r>
          </w:p>
        </w:tc>
      </w:tr>
      <w:tr>
        <w:tc>
          <w:tcPr>
            <w:tcW w:type="dxa" w:w="4394"/>
            <w:vAlign w:val="center"/>
          </w:tcPr>
          <w:p>
            <w:pPr>
              <w:spacing w:after="20" w:before="20"/>
            </w:pPr>
            <w:r>
              <w:rPr>
                <w:b/>
                <w:sz w:val="19"/>
              </w:rPr>
              <w:t>Ploča</w:t>
            </w:r>
          </w:p>
        </w:tc>
        <w:tc>
          <w:tcPr>
            <w:tcW w:type="dxa" w:w="4394"/>
            <w:vAlign w:val="center"/>
          </w:tcPr>
          <w:p>
            <w:pPr>
              <w:spacing w:after="20" w:before="20"/>
            </w:pPr>
            <w:r>
              <w:rPr>
                <w:sz w:val="19"/>
              </w:rPr>
              <w:t>Raspberry Pi 4 Model B Rev 1.4</w:t>
            </w:r>
          </w:p>
        </w:tc>
      </w:tr>
      <w:tr>
        <w:tc>
          <w:tcPr>
            <w:tcW w:type="dxa" w:w="4394"/>
            <w:vAlign w:val="center"/>
          </w:tcPr>
          <w:p>
            <w:pPr>
              <w:spacing w:after="20" w:before="20"/>
            </w:pPr>
            <w:r>
              <w:rPr>
                <w:b/>
                <w:sz w:val="19"/>
              </w:rPr>
              <w:t>Operativni sistem</w:t>
            </w:r>
          </w:p>
        </w:tc>
        <w:tc>
          <w:tcPr>
            <w:tcW w:type="dxa" w:w="4394"/>
            <w:vAlign w:val="center"/>
          </w:tcPr>
          <w:p>
            <w:pPr>
              <w:spacing w:after="20" w:before="20"/>
            </w:pPr>
            <w:r>
              <w:rPr>
                <w:sz w:val="19"/>
              </w:rPr>
              <w:t>Home Assistant OS 18.2 (izdanje rpi4-64)</w:t>
            </w:r>
          </w:p>
        </w:tc>
      </w:tr>
      <w:tr>
        <w:tc>
          <w:tcPr>
            <w:tcW w:type="dxa" w:w="4394"/>
            <w:vAlign w:val="center"/>
          </w:tcPr>
          <w:p>
            <w:pPr>
              <w:spacing w:after="20" w:before="20"/>
            </w:pPr>
            <w:r>
              <w:rPr>
                <w:b/>
                <w:sz w:val="19"/>
              </w:rPr>
              <w:t>Kernel / arhitektura</w:t>
            </w:r>
          </w:p>
        </w:tc>
        <w:tc>
          <w:tcPr>
            <w:tcW w:type="dxa" w:w="4394"/>
            <w:vAlign w:val="center"/>
          </w:tcPr>
          <w:p>
            <w:pPr>
              <w:spacing w:after="20" w:before="20"/>
            </w:pPr>
            <w:r>
              <w:rPr>
                <w:sz w:val="19"/>
              </w:rPr>
              <w:t>6.18.34-haos-raspi, aarch64</w:t>
            </w:r>
          </w:p>
        </w:tc>
      </w:tr>
      <w:tr>
        <w:tc>
          <w:tcPr>
            <w:tcW w:type="dxa" w:w="4394"/>
            <w:vAlign w:val="center"/>
          </w:tcPr>
          <w:p>
            <w:pPr>
              <w:spacing w:after="20" w:before="20"/>
            </w:pPr>
            <w:r>
              <w:rPr>
                <w:b/>
                <w:sz w:val="19"/>
              </w:rPr>
              <w:t>Radna memorija</w:t>
            </w:r>
          </w:p>
        </w:tc>
        <w:tc>
          <w:tcPr>
            <w:tcW w:type="dxa" w:w="4394"/>
            <w:vAlign w:val="center"/>
          </w:tcPr>
          <w:p>
            <w:pPr>
              <w:spacing w:after="20" w:before="20"/>
            </w:pPr>
            <w:r>
              <w:rPr>
                <w:sz w:val="19"/>
              </w:rPr>
              <w:t>7,6 GiB (≈ 1,0 GiB zauzeto)</w:t>
            </w:r>
          </w:p>
        </w:tc>
      </w:tr>
      <w:tr>
        <w:tc>
          <w:tcPr>
            <w:tcW w:type="dxa" w:w="4394"/>
            <w:vAlign w:val="center"/>
          </w:tcPr>
          <w:p>
            <w:pPr>
              <w:spacing w:after="20" w:before="20"/>
            </w:pPr>
            <w:r>
              <w:rPr>
                <w:b/>
                <w:sz w:val="19"/>
              </w:rPr>
              <w:t>Temperatura čipa</w:t>
            </w:r>
          </w:p>
        </w:tc>
        <w:tc>
          <w:tcPr>
            <w:tcW w:type="dxa" w:w="4394"/>
            <w:vAlign w:val="center"/>
          </w:tcPr>
          <w:p>
            <w:pPr>
              <w:spacing w:after="20" w:before="20"/>
            </w:pPr>
            <w:r>
              <w:rPr>
                <w:sz w:val="19"/>
              </w:rPr>
              <w:t>48,7 °C</w:t>
            </w:r>
          </w:p>
        </w:tc>
      </w:tr>
      <w:tr>
        <w:tc>
          <w:tcPr>
            <w:tcW w:type="dxa" w:w="4394"/>
            <w:vAlign w:val="center"/>
          </w:tcPr>
          <w:p>
            <w:pPr>
              <w:spacing w:after="20" w:before="20"/>
            </w:pPr>
            <w:r>
              <w:rPr>
                <w:b/>
                <w:sz w:val="19"/>
              </w:rPr>
              <w:t>Home Assistant (jezgro)</w:t>
            </w:r>
          </w:p>
        </w:tc>
        <w:tc>
          <w:tcPr>
            <w:tcW w:type="dxa" w:w="4394"/>
            <w:vAlign w:val="center"/>
          </w:tcPr>
          <w:p>
            <w:pPr>
              <w:spacing w:after="20" w:before="20"/>
            </w:pPr>
            <w:r>
              <w:rPr>
                <w:sz w:val="19"/>
              </w:rPr>
              <w:t>2026.7.4</w:t>
            </w:r>
          </w:p>
        </w:tc>
      </w:tr>
      <w:tr>
        <w:tc>
          <w:tcPr>
            <w:tcW w:type="dxa" w:w="4394"/>
            <w:vAlign w:val="center"/>
          </w:tcPr>
          <w:p>
            <w:pPr>
              <w:spacing w:after="20" w:before="20"/>
            </w:pPr>
            <w:r>
              <w:rPr>
                <w:b/>
                <w:sz w:val="19"/>
              </w:rPr>
              <w:t>Broker (dodatak)</w:t>
            </w:r>
          </w:p>
        </w:tc>
        <w:tc>
          <w:tcPr>
            <w:tcW w:type="dxa" w:w="4394"/>
            <w:vAlign w:val="center"/>
          </w:tcPr>
          <w:p>
            <w:pPr>
              <w:spacing w:after="20" w:before="20"/>
            </w:pPr>
            <w:r>
              <w:rPr>
                <w:sz w:val="19"/>
              </w:rPr>
              <w:t>Mosquitto 7.1.0 (Eclipse Mosquitto 2.1.2)</w:t>
            </w:r>
          </w:p>
        </w:tc>
      </w:tr>
      <w:tr>
        <w:tc>
          <w:tcPr>
            <w:tcW w:type="dxa" w:w="4394"/>
            <w:vAlign w:val="center"/>
          </w:tcPr>
          <w:p>
            <w:pPr>
              <w:spacing w:after="20" w:before="20"/>
            </w:pPr>
            <w:r>
              <w:rPr>
                <w:b/>
                <w:sz w:val="19"/>
              </w:rPr>
              <w:t>Otvoreni portovi</w:t>
            </w:r>
          </w:p>
        </w:tc>
        <w:tc>
          <w:tcPr>
            <w:tcW w:type="dxa" w:w="4394"/>
            <w:vAlign w:val="center"/>
          </w:tcPr>
          <w:p>
            <w:pPr>
              <w:spacing w:after="20" w:before="20"/>
            </w:pPr>
            <w:r>
              <w:rPr>
                <w:sz w:val="19"/>
              </w:rPr>
              <w:t>1883, 1884, 8883, 8884 (MQTT), 8123 (HA), 22222 (SSH)</w:t>
            </w:r>
          </w:p>
        </w:tc>
      </w:tr>
    </w:tbl>
    <w:p>
      <w:r>
        <w:t xml:space="preserve">Operativni sistem je </w:t>
      </w:r>
      <w:r>
        <w:rPr>
          <w:i/>
        </w:rPr>
        <w:t>Home Assistant OS 18.2</w:t>
      </w:r>
      <w:r>
        <w:t xml:space="preserve">, specijalizovana distribucija koja </w:t>
      </w:r>
      <w:r>
        <w:rPr>
          <w:i/>
        </w:rPr>
        <w:t>Home Assistant</w:t>
      </w:r>
      <w:r>
        <w:t xml:space="preserve"> i njegove dodatke izvršava u kontejnerima. Broker poruka isporučen je kao dodatak (engl. </w:t>
      </w:r>
      <w:r>
        <w:rPr>
          <w:i/>
        </w:rPr>
        <w:t>add-on</w:t>
      </w:r>
      <w:r>
        <w:t xml:space="preserve">) verzije 7.1.0, koji u sebi nosi </w:t>
      </w:r>
      <w:r>
        <w:rPr>
          <w:i/>
        </w:rPr>
        <w:t>Eclipse Mosquitto 2.1.2</w:t>
      </w:r>
      <w:r>
        <w:t>. Upravo je Mosquitto komponenta u kojoj se konfiguriše dvostruki transport — nešifrovani i šifrovani listener — pa se njegova postavka detaljno razmatra kasnije u ovom poglavlju. Time jedan uređaj ravnopravno opslužuje i referentni i zaštićeni čvor, čime poređenje ostaje pošteno.</w:t>
      </w:r>
    </w:p>
    <w:p>
      <w:pPr>
        <w:pStyle w:val="Heading3"/>
        <w:keepNext/>
      </w:pPr>
      <w:r>
        <w:t>Senzori i aktuatori</w:t>
      </w:r>
    </w:p>
    <w:p>
      <w:r>
        <w:t xml:space="preserve">Aktuatorski deo sistema nosi referentni čvor </w:t>
      </w:r>
      <w:r>
        <w:rPr>
          <w:rFonts w:ascii="Consolas" w:hAnsi="Consolas"/>
          <w:sz w:val="21"/>
        </w:rPr>
        <w:t>esp1_lights</w:t>
      </w:r>
      <w:r>
        <w:t xml:space="preserve">, koji upravlja relejima za svetla. Releji su tipično </w:t>
      </w:r>
      <w:r>
        <w:rPr>
          <w:i/>
        </w:rPr>
        <w:t>aktivni na niskom nivou</w:t>
      </w:r>
      <w:r>
        <w:t xml:space="preserve"> (engl. </w:t>
      </w:r>
      <w:r>
        <w:rPr>
          <w:i/>
        </w:rPr>
        <w:t>active-LOW</w:t>
      </w:r>
      <w:r>
        <w:t xml:space="preserve">): logička nula na upravljačkom pinu uključuje potrošač, a jedinica ga isključuje. Da se ta inverzija ne bi provlačila kroz aplikacionu logiku, ona se svodi na jedno mesto — konačni nivo pina računa se izrazom </w:t>
      </w:r>
      <w:r>
        <w:rPr>
          <w:rFonts w:ascii="Consolas" w:hAnsi="Consolas"/>
          <w:sz w:val="21"/>
        </w:rPr>
        <w:t>level = state ^ active_low</w:t>
      </w:r>
      <w:r>
        <w:t xml:space="preserve">, gde se zastavica </w:t>
      </w:r>
      <w:r>
        <w:rPr>
          <w:rFonts w:ascii="Consolas" w:hAnsi="Consolas"/>
          <w:sz w:val="21"/>
        </w:rPr>
        <w:t>active_low</w:t>
      </w:r>
      <w:r>
        <w:t xml:space="preserve"> prosleđuje iz datoteke </w:t>
      </w:r>
      <w:r>
        <w:rPr>
          <w:rFonts w:ascii="Consolas" w:hAnsi="Consolas"/>
          <w:sz w:val="21"/>
        </w:rPr>
        <w:t>main.c</w:t>
      </w:r>
      <w:r>
        <w:t xml:space="preserve"> prema stvarnom ožičenju. Aplikacioni kod tako uvek barata logičkim stanjem „upaljeno/ugašeno“, a preslikavanje na naponski nivo je stvar konfiguracije, ne logike. Četiri releja pojavljuju se u kontroleru kao četiri prekidačka (engl. </w:t>
      </w:r>
      <w:r>
        <w:rPr>
          <w:i/>
        </w:rPr>
        <w:t>switch</w:t>
      </w:r>
      <w:r>
        <w:t>) entiteta.</w:t>
      </w:r>
    </w:p>
    <w:p>
      <w:r>
        <w:t xml:space="preserve">Senzorski deo nosi čvor </w:t>
      </w:r>
      <w:r>
        <w:rPr>
          <w:rFonts w:ascii="Consolas" w:hAnsi="Consolas"/>
          <w:sz w:val="21"/>
        </w:rPr>
        <w:t>esp2_temperature</w:t>
      </w:r>
      <w:r>
        <w:t xml:space="preserve">. U izvedenom firmveru verzije v3.0.0 temperature nisu očitane sa fizičkog senzora, već su </w:t>
      </w:r>
      <w:r>
        <w:rPr>
          <w:i/>
        </w:rPr>
        <w:t>simulirane</w:t>
      </w:r>
      <w:r>
        <w:t xml:space="preserve">: četiri kanala kreću iz zasebnih početnih vrednosti i nezavisno „šetaju“ po modelu nasumičnog hoda (engl. </w:t>
      </w:r>
      <w:r>
        <w:rPr>
          <w:i/>
        </w:rPr>
        <w:t>random walk</w:t>
      </w:r>
      <w:r>
        <w:t xml:space="preserve">), sa korakom od najviše ±0,5 °C po ciklusu i ograničenjem na opseg od 15 do 30 °C. Sve četiri vrednosti objavljuju se zajedno, kao jedan zadržani </w:t>
      </w:r>
      <w:r>
        <w:rPr>
          <w:i/>
        </w:rPr>
        <w:t>JSON</w:t>
      </w:r>
      <w:r>
        <w:t xml:space="preserve"> zapis, na svakih 30 sekundi. Simulacija je svesna projektantska odluka: ona daje deterministički ponovljiv i uvek prisutan izvor saobraćaja za mernu studiju, nezavisan od raspoloživosti i šuma stvarnog senzora.</w:t>
      </w:r>
    </w:p>
    <w:p>
      <w:r>
        <w:t xml:space="preserve">Čvor </w:t>
      </w:r>
      <w:r>
        <w:rPr>
          <w:rFonts w:ascii="Consolas" w:hAnsi="Consolas"/>
          <w:sz w:val="21"/>
        </w:rPr>
        <w:t>esp2</w:t>
      </w:r>
      <w:r>
        <w:t xml:space="preserve"> opremljen je i grafičkim ekranom — </w:t>
      </w:r>
      <w:r>
        <w:rPr>
          <w:i/>
        </w:rPr>
        <w:t>LCD</w:t>
      </w:r>
      <w:r>
        <w:t xml:space="preserve"> kontrolerom </w:t>
      </w:r>
      <w:r>
        <w:rPr>
          <w:i/>
        </w:rPr>
        <w:t>ILI9341</w:t>
      </w:r>
      <w:r>
        <w:t xml:space="preserve">, koji firmver pri pokretanju sam prepoznaje. Ekran preslikava iste četiri temperature koje se objavljuju na broker, obojene prema opsegu vrednosti, pa služi kao lokalni prikaz stanja nezavisan od kontrolera. Ekran je ujedno i razlog za dodatnu </w:t>
      </w:r>
      <w:r>
        <w:rPr>
          <w:i/>
        </w:rPr>
        <w:t>PSRAM</w:t>
      </w:r>
      <w:r>
        <w:t xml:space="preserve"> memoriju na ovom modulu, koja olakšava rad sa okvirnim baferom prikaza.</w:t>
      </w:r>
    </w:p>
    <w:p>
      <w:pPr>
        <w:pStyle w:val="Heading2"/>
        <w:keepNext/>
      </w:pPr>
      <w:r>
        <w:t>Softverske komponente</w:t>
      </w:r>
    </w:p>
    <w:p>
      <w:r>
        <w:t xml:space="preserve">Firmver oba čvora napisan je u </w:t>
      </w:r>
      <w:r>
        <w:rPr>
          <w:i/>
        </w:rPr>
        <w:t>čistom jeziku C</w:t>
      </w:r>
      <w:r>
        <w:t xml:space="preserve"> na razvojnom okviru </w:t>
      </w:r>
      <w:r>
        <w:rPr>
          <w:i/>
        </w:rPr>
        <w:t>Espressif IoT Development Framework (ESP-IDF)</w:t>
      </w:r>
      <w:r>
        <w:t xml:space="preserve">, verzija 5.5.0, bez Arduino sloja, a prevodi se i flešuje alatom </w:t>
      </w:r>
      <w:r>
        <w:rPr>
          <w:i/>
        </w:rPr>
        <w:t>PlatformIO</w:t>
      </w:r>
      <w:r>
        <w:t xml:space="preserve">. Softverska arhitektura počiva na jasnoj podeli: sav zajednički kod smešten je u jednu deljenu komponentu, dok se specifičnosti pojedine ploče drže u zasebnom, tankom modulu. Ovakav raspored omogućava da se mrežni stek, </w:t>
      </w:r>
      <w:r>
        <w:rPr>
          <w:i/>
        </w:rPr>
        <w:t>MQTT</w:t>
      </w:r>
      <w:r>
        <w:t xml:space="preserve"> klijent, integracija sa kontrolerom i nadogradnja implementiraju jednom i primenjuju na sve čvorove.</w:t>
      </w:r>
    </w:p>
    <w:p>
      <w:pPr>
        <w:pStyle w:val="Heading3"/>
        <w:keepNext/>
      </w:pPr>
      <w:r>
        <w:t>Firmver — arhitektura i deljena komponenta common</w:t>
      </w:r>
    </w:p>
    <w:p>
      <w:r>
        <w:t xml:space="preserve">Sav deljeni kod smešten je u komponentu </w:t>
      </w:r>
      <w:r>
        <w:rPr>
          <w:i/>
        </w:rPr>
        <w:t>ESP-IDF</w:t>
      </w:r>
      <w:r>
        <w:t xml:space="preserve"> pod nazivom </w:t>
      </w:r>
      <w:r>
        <w:rPr>
          <w:rFonts w:ascii="Consolas" w:hAnsi="Consolas"/>
          <w:sz w:val="21"/>
        </w:rPr>
        <w:t>common</w:t>
      </w:r>
      <w:r>
        <w:t>, od koje svaka ploča zavisi izričito (</w:t>
      </w:r>
      <w:r>
        <w:rPr>
          <w:rFonts w:ascii="Consolas" w:hAnsi="Consolas"/>
          <w:sz w:val="21"/>
        </w:rPr>
        <w:t>REQUIRES common</w:t>
      </w:r>
      <w:r>
        <w:t xml:space="preserve">). Zahvaljujući tome, svaki čvor izvršava identičnu mrežnu i integracionu logiku, a razlikuje se samo po svom aplikacionom modulu. Komponenta </w:t>
      </w:r>
      <w:r>
        <w:rPr>
          <w:rFonts w:ascii="Consolas" w:hAnsi="Consolas"/>
          <w:sz w:val="21"/>
        </w:rPr>
        <w:t>common</w:t>
      </w:r>
      <w:r>
        <w:t xml:space="preserve"> sastoji se od nekoliko funkcionalno zaokruženih omotača (engl. </w:t>
      </w:r>
      <w:r>
        <w:rPr>
          <w:i/>
        </w:rPr>
        <w:t>wrapper</w:t>
      </w:r>
      <w:r>
        <w:t>), koji se pojedinačno opisuju u nastavku.</w:t>
      </w:r>
    </w:p>
    <w:p>
      <w:pPr>
        <w:pStyle w:val="Heading4"/>
        <w:keepNext/>
      </w:pPr>
      <w:r>
        <w:t>wifi_sta — mrežna konektivnost</w:t>
      </w:r>
    </w:p>
    <w:p>
      <w:r>
        <w:t xml:space="preserve">Omotač </w:t>
      </w:r>
      <w:r>
        <w:rPr>
          <w:rFonts w:ascii="Consolas" w:hAnsi="Consolas"/>
          <w:sz w:val="21"/>
        </w:rPr>
        <w:t>wifi_sta</w:t>
      </w:r>
      <w:r>
        <w:t xml:space="preserve"> uspostavlja mrežnu vezu u stanicom (engl. </w:t>
      </w:r>
      <w:r>
        <w:rPr>
          <w:i/>
        </w:rPr>
        <w:t>station</w:t>
      </w:r>
      <w:r>
        <w:t xml:space="preserve">, STA) režimu. Jedan poziv, </w:t>
      </w:r>
      <w:r>
        <w:rPr>
          <w:rFonts w:ascii="Consolas" w:hAnsi="Consolas"/>
          <w:sz w:val="21"/>
        </w:rPr>
        <w:t>wifi_sta_start(hostname)</w:t>
      </w:r>
      <w:r>
        <w:t xml:space="preserve">, inicijalizuje trajnu memoriju </w:t>
      </w:r>
      <w:r>
        <w:rPr>
          <w:i/>
        </w:rPr>
        <w:t>Non-Volatile Storage (NVS)</w:t>
      </w:r>
      <w:r>
        <w:t xml:space="preserve">, mrežni interfejs (netif) i petlju sistemskih događaja, povezuje se na pristupnu tačku sa kredencijalima iz datoteke </w:t>
      </w:r>
      <w:r>
        <w:rPr>
          <w:rFonts w:ascii="Consolas" w:hAnsi="Consolas"/>
          <w:sz w:val="21"/>
        </w:rPr>
        <w:t>secrets.h</w:t>
      </w:r>
      <w:r>
        <w:t xml:space="preserve"> i postavlja mrežno ime uređaja. Poziv je blokirajući — vraća se tek kad je veza uspostavljena — čime se ostatak pokretanja pojednostavljuje jer se dalja logika oslanja na već aktivnu mrežu.</w:t>
      </w:r>
    </w:p>
    <w:p>
      <w:pPr>
        <w:pStyle w:val="Heading4"/>
        <w:keepNext/>
      </w:pPr>
      <w:r>
        <w:t>mqtt_wrap — MQTT klijent i centralna dispečerska tačka</w:t>
      </w:r>
    </w:p>
    <w:p>
      <w:r>
        <w:t xml:space="preserve">Omotač </w:t>
      </w:r>
      <w:r>
        <w:rPr>
          <w:rFonts w:ascii="Consolas" w:hAnsi="Consolas"/>
          <w:sz w:val="21"/>
        </w:rPr>
        <w:t>mqtt_wrap</w:t>
      </w:r>
      <w:r>
        <w:t xml:space="preserve"> je jedino mesto na kojem se konfiguriše </w:t>
      </w:r>
      <w:r>
        <w:rPr>
          <w:i/>
        </w:rPr>
        <w:t>MQTT</w:t>
      </w:r>
      <w:r>
        <w:t xml:space="preserve"> veza za sve ploče, i upravo je u njemu implementiran </w:t>
      </w:r>
      <w:r>
        <w:rPr>
          <w:i/>
        </w:rPr>
        <w:t>TLS</w:t>
      </w:r>
      <w:r>
        <w:t xml:space="preserve">. Poziv </w:t>
      </w:r>
      <w:r>
        <w:rPr>
          <w:rFonts w:ascii="Consolas" w:hAnsi="Consolas"/>
          <w:sz w:val="21"/>
        </w:rPr>
        <w:t>mqtt_start(board, on_message, on_connect)</w:t>
      </w:r>
      <w:r>
        <w:t xml:space="preserve"> postavlja klijenta, registruje testament (</w:t>
      </w:r>
      <w:r>
        <w:rPr>
          <w:i/>
        </w:rPr>
        <w:t>Last-Will</w:t>
      </w:r>
      <w:r>
        <w:t xml:space="preserve">): broker će u ime čvora objaviti zadržanu poruku </w:t>
      </w:r>
      <w:r>
        <w:rPr>
          <w:rFonts w:ascii="Consolas" w:hAnsi="Consolas"/>
          <w:sz w:val="21"/>
        </w:rPr>
        <w:t>offline</w:t>
      </w:r>
      <w:r>
        <w:t xml:space="preserve"> na temi </w:t>
      </w:r>
      <w:r>
        <w:rPr>
          <w:rFonts w:ascii="Consolas" w:hAnsi="Consolas"/>
          <w:sz w:val="21"/>
        </w:rPr>
        <w:t>home/&lt;board&gt;/status</w:t>
      </w:r>
      <w:r>
        <w:t xml:space="preserve"> ako veza neočekivano padne. Pri svakom uspešnom (ponovnom) povezivanju klijent objavljuje </w:t>
      </w:r>
      <w:r>
        <w:rPr>
          <w:rFonts w:ascii="Consolas" w:hAnsi="Consolas"/>
          <w:sz w:val="21"/>
        </w:rPr>
        <w:t>online</w:t>
      </w:r>
      <w:r>
        <w:t xml:space="preserve"> i poziva povratni poziv </w:t>
      </w:r>
      <w:r>
        <w:rPr>
          <w:rFonts w:ascii="Consolas" w:hAnsi="Consolas"/>
          <w:sz w:val="21"/>
        </w:rPr>
        <w:t>on_connect</w:t>
      </w:r>
      <w:r>
        <w:t xml:space="preserve">, koji se stoga izvršava na </w:t>
      </w:r>
      <w:r>
        <w:rPr>
          <w:i/>
        </w:rPr>
        <w:t>svaki</w:t>
      </w:r>
      <w:r>
        <w:t xml:space="preserve"> rekonekt. Ovaj modul je i centralna tačka za daljinsku nadogradnju: pre nego što se dolazna poruka prosledi ploči, priliku da je obradi prvo dobija sloj za nadogradnju.</w:t>
      </w:r>
    </w:p>
    <w:p>
      <w:r>
        <w:t xml:space="preserve">Izbor transporta rešava se u vreme prevođenja. Za build čvora </w:t>
      </w:r>
      <w:r>
        <w:rPr>
          <w:rFonts w:ascii="Consolas" w:hAnsi="Consolas"/>
          <w:sz w:val="21"/>
        </w:rPr>
        <w:t>esp2</w:t>
      </w:r>
      <w:r>
        <w:t xml:space="preserve"> prosleđuje se zastavica </w:t>
      </w:r>
      <w:r>
        <w:rPr>
          <w:rFonts w:ascii="Consolas" w:hAnsi="Consolas"/>
          <w:sz w:val="21"/>
        </w:rPr>
        <w:t>-DMQTT_TLS=1</w:t>
      </w:r>
      <w:r>
        <w:t xml:space="preserve">, pod kojom </w:t>
      </w:r>
      <w:r>
        <w:rPr>
          <w:rFonts w:ascii="Consolas" w:hAnsi="Consolas"/>
          <w:sz w:val="21"/>
        </w:rPr>
        <w:t>mqtt_wrap.c</w:t>
      </w:r>
      <w:r>
        <w:t xml:space="preserve"> bira adresu šeme </w:t>
      </w:r>
      <w:r>
        <w:rPr>
          <w:rFonts w:ascii="Consolas" w:hAnsi="Consolas"/>
          <w:sz w:val="21"/>
        </w:rPr>
        <w:t>mqtts://</w:t>
      </w:r>
      <w:r>
        <w:t xml:space="preserve"> na portu 8883 (umesto </w:t>
      </w:r>
      <w:r>
        <w:rPr>
          <w:rFonts w:ascii="Consolas" w:hAnsi="Consolas"/>
          <w:sz w:val="21"/>
        </w:rPr>
        <w:t>mqtt://</w:t>
      </w:r>
      <w:r>
        <w:t xml:space="preserve"> na 1883) i prilaže ugrađeni sertifikat izdavaoca radi provere servera. Referentni čvor </w:t>
      </w:r>
      <w:r>
        <w:rPr>
          <w:rFonts w:ascii="Consolas" w:hAnsi="Consolas"/>
          <w:sz w:val="21"/>
        </w:rPr>
        <w:t>esp1</w:t>
      </w:r>
      <w:r>
        <w:t xml:space="preserve"> tu zastavicu ne dobija, pa u njegov binarni fajl ne ulazi ni </w:t>
      </w:r>
      <w:r>
        <w:rPr>
          <w:i/>
        </w:rPr>
        <w:t>TLS</w:t>
      </w:r>
      <w:r>
        <w:t xml:space="preserve"> grana ni sertifikat — čime je referentna tačka dokazano „čista“, a razlika između dva čvora svodi se isključivo na </w:t>
      </w:r>
      <w:r>
        <w:rPr>
          <w:i/>
        </w:rPr>
        <w:t>TLS</w:t>
      </w:r>
      <w:r>
        <w:t>.</w:t>
      </w:r>
    </w:p>
    <w:p>
      <w:pPr>
        <w:pStyle w:val="Heading4"/>
        <w:keepNext/>
      </w:pPr>
      <w:r>
        <w:t>ha_discovery — automatsko otkrivanje entiteta</w:t>
      </w:r>
    </w:p>
    <w:p>
      <w:r>
        <w:t xml:space="preserve">Omotač </w:t>
      </w:r>
      <w:r>
        <w:rPr>
          <w:rFonts w:ascii="Consolas" w:hAnsi="Consolas"/>
          <w:sz w:val="21"/>
        </w:rPr>
        <w:t>ha_discovery</w:t>
      </w:r>
      <w:r>
        <w:t xml:space="preserve"> čvorove uklapa u kontroler mehanizmom automatskog otkrivanja </w:t>
      </w:r>
      <w:r>
        <w:rPr>
          <w:i/>
        </w:rPr>
        <w:t>MQTT Discovery</w:t>
      </w:r>
      <w:r>
        <w:t xml:space="preserve">. Nakon što se pozivom </w:t>
      </w:r>
      <w:r>
        <w:rPr>
          <w:rFonts w:ascii="Consolas" w:hAnsi="Consolas"/>
          <w:sz w:val="21"/>
        </w:rPr>
        <w:t>ha_set_device(board, prikazno_ime)</w:t>
      </w:r>
      <w:r>
        <w:t xml:space="preserve"> opiše nadređeni uređaj, poziv </w:t>
      </w:r>
      <w:r>
        <w:rPr>
          <w:rFonts w:ascii="Consolas" w:hAnsi="Consolas"/>
          <w:sz w:val="21"/>
        </w:rPr>
        <w:t>ha_publish_config(component, object_id, extra_json)</w:t>
      </w:r>
      <w:r>
        <w:t xml:space="preserve"> sastavlja i objavljuje zadržanu konfiguracionu poruku na temi </w:t>
      </w:r>
      <w:r>
        <w:rPr>
          <w:rFonts w:ascii="Consolas" w:hAnsi="Consolas"/>
          <w:sz w:val="21"/>
        </w:rPr>
        <w:t>homeassistant/&lt;component&gt;/&lt;board&gt;/&lt;object_id&gt;/config</w:t>
      </w:r>
      <w:r>
        <w:t xml:space="preserve">. Modul automatski ubacuje ime, jedinstveni identifikator, blok dostupnosti i opis uređaja — uključujući </w:t>
      </w:r>
      <w:r>
        <w:rPr>
          <w:rFonts w:ascii="Consolas" w:hAnsi="Consolas"/>
          <w:sz w:val="21"/>
        </w:rPr>
        <w:t>sw_version</w:t>
      </w:r>
      <w:r>
        <w:t>, verziju firmvera pročitanu iz deskriptora aplikacije — dok pozivalac zadaje samo komponentno specifične ključeve. Time se za svaki entitet u kontroleru prikazuje i tekuća verzija firmvera koju čvor nosi.</w:t>
      </w:r>
    </w:p>
    <w:p>
      <w:pPr>
        <w:pStyle w:val="Heading4"/>
        <w:keepNext/>
      </w:pPr>
      <w:r>
        <w:t>app_rtos — periodični zadaci</w:t>
      </w:r>
    </w:p>
    <w:p>
      <w:r>
        <w:t xml:space="preserve">Omotač </w:t>
      </w:r>
      <w:r>
        <w:rPr>
          <w:rFonts w:ascii="Consolas" w:hAnsi="Consolas"/>
          <w:sz w:val="21"/>
        </w:rPr>
        <w:t>app_rtos</w:t>
      </w:r>
      <w:r>
        <w:t xml:space="preserve"> uvodi red u konkurentno izvršavanje oslanjajući se na operativni sistem realnog vremena </w:t>
      </w:r>
      <w:r>
        <w:rPr>
          <w:i/>
        </w:rPr>
        <w:t>FreeRTOS</w:t>
      </w:r>
      <w:r>
        <w:t xml:space="preserve">, koji je sastavni deo okvira </w:t>
      </w:r>
      <w:r>
        <w:rPr>
          <w:i/>
        </w:rPr>
        <w:t>ESP-IDF</w:t>
      </w:r>
      <w:r>
        <w:t xml:space="preserve">. Poziv </w:t>
      </w:r>
      <w:r>
        <w:rPr>
          <w:rFonts w:ascii="Consolas" w:hAnsi="Consolas"/>
          <w:sz w:val="21"/>
        </w:rPr>
        <w:t>rtos_every_ms(...)</w:t>
      </w:r>
      <w:r>
        <w:t xml:space="preserve"> pokreće </w:t>
      </w:r>
      <w:r>
        <w:rPr>
          <w:i/>
        </w:rPr>
        <w:t>bezdriftni</w:t>
      </w:r>
      <w:r>
        <w:t xml:space="preserve"> periodični zadatak, čiji se raspored zasniva na apsolutnom vremenu buđenja, pa se greška perioda ne nagomilava. Uveden je i konvencija razdvajanja poslova po jezgrima: aplikaciona logika izvršava se na jezgru 1, a mrežni poslovi na jezgru 0, čime se smanjuje međusobno ometanje vremenski osetljivih zadataka.</w:t>
      </w:r>
    </w:p>
    <w:p>
      <w:pPr>
        <w:pStyle w:val="Heading4"/>
        <w:keepNext/>
      </w:pPr>
      <w:r>
        <w:t>diag — dijagnostika u realnom vremenu</w:t>
      </w:r>
    </w:p>
    <w:p>
      <w:r>
        <w:t xml:space="preserve">Modul </w:t>
      </w:r>
      <w:r>
        <w:rPr>
          <w:rFonts w:ascii="Consolas" w:hAnsi="Consolas"/>
          <w:sz w:val="21"/>
        </w:rPr>
        <w:t>diag</w:t>
      </w:r>
      <w:r>
        <w:t xml:space="preserve">, dodat u verziji v3.0.0, obezbeđuje uvid u stanje uređaja tokom rada. Oslanjajući se na statistiku izvršavanja koju vodi </w:t>
      </w:r>
      <w:r>
        <w:rPr>
          <w:i/>
        </w:rPr>
        <w:t>FreeRTOS</w:t>
      </w:r>
      <w:r>
        <w:t>, on periodično objavljuje četiri dijagnostičke veličine po čvoru: opterećenje procesora (</w:t>
      </w:r>
      <w:r>
        <w:rPr>
          <w:i/>
        </w:rPr>
        <w:t>Central Processing Unit</w:t>
      </w:r>
      <w:r>
        <w:t>, CPU) po jezgru, količinu slobodne radne memorije (heap), jačinu primljenog Wi-Fi signala (</w:t>
      </w:r>
      <w:r>
        <w:rPr>
          <w:i/>
        </w:rPr>
        <w:t>Received Signal Strength Indicator</w:t>
      </w:r>
      <w:r>
        <w:t xml:space="preserve">, RSSI) i vreme rada od pokretanja (engl. </w:t>
      </w:r>
      <w:r>
        <w:rPr>
          <w:i/>
        </w:rPr>
        <w:t>uptime</w:t>
      </w:r>
      <w:r>
        <w:t>). Svaka veličina pojavljuje se u kontroleru kao zaseban senzorski entitet, pa oba čvora zajedno daju osam dijagnostičkih senzora. Ovaj modul je i izvor podataka za poglavlje o opterećenju procesora.</w:t>
      </w:r>
    </w:p>
    <w:p>
      <w:pPr>
        <w:pStyle w:val="Heading3"/>
        <w:keepNext/>
      </w:pPr>
      <w:r>
        <w:t>Build sistem (PlatformIO + ESP-IDF)</w:t>
      </w:r>
    </w:p>
    <w:p>
      <w:r>
        <w:t xml:space="preserve">Obe ploče žive u jednom </w:t>
      </w:r>
      <w:r>
        <w:rPr>
          <w:i/>
        </w:rPr>
        <w:t>CMake</w:t>
      </w:r>
      <w:r>
        <w:t xml:space="preserve"> projektu, ali svaki build proizvodi tačno jedan firmver — onaj za izabranu ploču. Izbor teče kroz jednu promenljivu: datoteka </w:t>
      </w:r>
      <w:r>
        <w:rPr>
          <w:rFonts w:ascii="Consolas" w:hAnsi="Consolas"/>
          <w:sz w:val="21"/>
        </w:rPr>
        <w:t>platformio.ini</w:t>
      </w:r>
      <w:r>
        <w:t xml:space="preserve"> za svako okruženje postavlja </w:t>
      </w:r>
      <w:r>
        <w:rPr>
          <w:rFonts w:ascii="Consolas" w:hAnsi="Consolas"/>
          <w:sz w:val="21"/>
        </w:rPr>
        <w:t>-DSMARTHOME_BOARD=&lt;env&gt;</w:t>
      </w:r>
      <w:r>
        <w:t xml:space="preserve">, a </w:t>
      </w:r>
      <w:r>
        <w:rPr>
          <w:rFonts w:ascii="Consolas" w:hAnsi="Consolas"/>
          <w:sz w:val="21"/>
        </w:rPr>
        <w:t>src/CMakeLists.txt</w:t>
      </w:r>
      <w:r>
        <w:t xml:space="preserve"> potom obrascem </w:t>
      </w:r>
      <w:r>
        <w:rPr>
          <w:rFonts w:ascii="Consolas" w:hAnsi="Consolas"/>
          <w:sz w:val="21"/>
        </w:rPr>
        <w:t>GLOB</w:t>
      </w:r>
      <w:r>
        <w:t xml:space="preserve"> uzima izvorne datoteke samo te ploče (</w:t>
      </w:r>
      <w:r>
        <w:rPr>
          <w:rFonts w:ascii="Consolas" w:hAnsi="Consolas"/>
          <w:sz w:val="21"/>
        </w:rPr>
        <w:t>${SMARTHOME_BOARD}/src/*.c</w:t>
      </w:r>
      <w:r>
        <w:t xml:space="preserve">) i dodaje samo njen direktorijum zaglavlja. Tako se u svakom prevođenju kompajlira samo jedan ulaz </w:t>
      </w:r>
      <w:r>
        <w:rPr>
          <w:rFonts w:ascii="Consolas" w:hAnsi="Consolas"/>
          <w:sz w:val="21"/>
        </w:rPr>
        <w:t>app_main()</w:t>
      </w:r>
      <w:r>
        <w:t xml:space="preserve">. Ovaj pristup je neophodan zato što </w:t>
      </w:r>
      <w:r>
        <w:rPr>
          <w:i/>
        </w:rPr>
        <w:t>ESP-IDF</w:t>
      </w:r>
      <w:r>
        <w:t xml:space="preserve"> zanemaruje mehanizam </w:t>
      </w:r>
      <w:r>
        <w:rPr>
          <w:rFonts w:ascii="Consolas" w:hAnsi="Consolas"/>
          <w:sz w:val="21"/>
        </w:rPr>
        <w:t>build_src_filter</w:t>
      </w:r>
      <w:r>
        <w:t xml:space="preserve"> alata </w:t>
      </w:r>
      <w:r>
        <w:rPr>
          <w:i/>
        </w:rPr>
        <w:t>PlatformIO</w:t>
      </w:r>
      <w:r>
        <w:t>; posledica je da se nova izvorna datoteka pod ploču automatski uključuje, a nova ploča znači nov direktorijum i nov blok okruženja.</w:t>
      </w:r>
    </w:p>
    <w:p>
      <w:r>
        <w:t xml:space="preserve">Svaka ploča ima zasebno </w:t>
      </w:r>
      <w:r>
        <w:rPr>
          <w:i/>
        </w:rPr>
        <w:t>PlatformIO</w:t>
      </w:r>
      <w:r>
        <w:t xml:space="preserve"> okruženje — </w:t>
      </w:r>
      <w:r>
        <w:rPr>
          <w:rFonts w:ascii="Consolas" w:hAnsi="Consolas"/>
          <w:sz w:val="21"/>
        </w:rPr>
        <w:t>esp1_lights</w:t>
      </w:r>
      <w:r>
        <w:t xml:space="preserve"> i </w:t>
      </w:r>
      <w:r>
        <w:rPr>
          <w:rFonts w:ascii="Consolas" w:hAnsi="Consolas"/>
          <w:sz w:val="21"/>
        </w:rPr>
        <w:t>esp2_temperature</w:t>
      </w:r>
      <w:r>
        <w:t xml:space="preserve"> — a kroz isti kanal koji nosi izbor ploče prosleđuje se i zastavica </w:t>
      </w:r>
      <w:r>
        <w:rPr>
          <w:i/>
        </w:rPr>
        <w:t>TLS</w:t>
      </w:r>
      <w:r>
        <w:t xml:space="preserve"> (samo drugom okruženju). Deljena konfiguracija fleš memorije i tabele particija nalazi se u datotekama </w:t>
      </w:r>
      <w:r>
        <w:rPr>
          <w:rFonts w:ascii="Consolas" w:hAnsi="Consolas"/>
          <w:sz w:val="21"/>
        </w:rPr>
        <w:t>sdkconfig.defaults</w:t>
      </w:r>
      <w:r>
        <w:t xml:space="preserve"> i </w:t>
      </w:r>
      <w:r>
        <w:rPr>
          <w:rFonts w:ascii="Consolas" w:hAnsi="Consolas"/>
          <w:sz w:val="21"/>
        </w:rPr>
        <w:t>partitions.csv</w:t>
      </w:r>
      <w:r>
        <w:t xml:space="preserve">; generisane </w:t>
      </w:r>
      <w:r>
        <w:rPr>
          <w:rFonts w:ascii="Consolas" w:hAnsi="Consolas"/>
          <w:sz w:val="21"/>
        </w:rPr>
        <w:t>sdkconfig.*</w:t>
      </w:r>
      <w:r>
        <w:t xml:space="preserve"> datoteke izuzete su iz verzionisanja i regenerišu se iz podrazumevanih vrednosti pri svakom buildu, pa se trajne izmene rade isključivo u </w:t>
      </w:r>
      <w:r>
        <w:rPr>
          <w:rFonts w:ascii="Consolas" w:hAnsi="Consolas"/>
          <w:sz w:val="21"/>
        </w:rPr>
        <w:t>sdkconfig.defaults</w:t>
      </w:r>
      <w:r>
        <w:t>. Ključne postavke prikazane su u nastavku.</w:t>
      </w:r>
    </w:p>
    <w:tbl>
      <w:tblPr>
        <w:tblStyle w:val="TableGrid"/>
        <w:tblW w:type="auto" w:w="0"/>
        <w:jc w:val="center"/>
        <w:tblLayout w:type="fixed"/>
        <w:tblLook w:firstColumn="1" w:firstRow="1" w:lastColumn="0" w:lastRow="0" w:noHBand="0" w:noVBand="1" w:val="04A0"/>
        <w:tblLayout w:type="fixed"/>
        <w:tblW w:w="9072" w:type="dxa"/>
      </w:tblPr>
      <w:tblGrid>
        <w:gridCol w:w="8788"/>
      </w:tblGrid>
      <w:tr>
        <w:tc>
          <w:tcPr>
            <w:tcW w:type="dxa" w:w="8788"/>
            <w:shd w:val="clear" w:color="auto" w:fill="f2f1ec"/>
          </w:tcPr>
          <w:p>
            <w:pPr>
              <w:spacing w:after="40" w:before="40"/>
            </w:pPr>
            <w:r>
              <w:rPr>
                <w:rFonts w:ascii="Consolas" w:hAnsi="Consolas"/>
                <w:sz w:val="18"/>
              </w:rPr>
              <w:t>CONFIG_ESPTOOLPY_FLASHSIZE_4MB=y          # 4 MB fleš memorije</w:t>
              <w:br/>
            </w:r>
            <w:r>
              <w:rPr>
                <w:rFonts w:ascii="Consolas" w:hAnsi="Consolas"/>
                <w:sz w:val="18"/>
              </w:rPr>
              <w:t>CONFIG_PARTITION_TABLE_CUSTOM=y           # sopstvena tabela particija (partitions.csv)</w:t>
              <w:br/>
            </w:r>
            <w:r>
              <w:rPr>
                <w:rFonts w:ascii="Consolas" w:hAnsi="Consolas"/>
                <w:sz w:val="18"/>
              </w:rPr>
              <w:t>CONFIG_BOOTLOADER_APP_ROLLBACK_ENABLE=y   # vraćanje na prethodnu sliku (rollback)</w:t>
              <w:br/>
            </w:r>
            <w:r>
              <w:rPr>
                <w:rFonts w:ascii="Consolas" w:hAnsi="Consolas"/>
                <w:sz w:val="18"/>
              </w:rPr>
              <w:t>CONFIG_MBEDTLS_CERTIFICATE_BUNDLE=y       # javni CA bundle za HTTPS (OTA)</w:t>
            </w:r>
          </w:p>
        </w:tc>
      </w:tr>
    </w:tbl>
    <w:p>
      <w:r>
        <w:t xml:space="preserve">Zbog daljinske nadogradnje, koja zahteva prostor za dve aplikativne slike, umesto jednostavne šeme uvedena je </w:t>
      </w:r>
      <w:r>
        <w:rPr>
          <w:i/>
        </w:rPr>
        <w:t>dual-OTA</w:t>
      </w:r>
      <w:r>
        <w:t xml:space="preserve"> tabela particija na fleš memoriji od 4 MB. Ona sadrži dva ravnopravna aplikativna slota jednake veličine (</w:t>
      </w:r>
      <w:r>
        <w:rPr>
          <w:rFonts w:ascii="Consolas" w:hAnsi="Consolas"/>
          <w:sz w:val="21"/>
        </w:rPr>
        <w:t>ota_0</w:t>
      </w:r>
      <w:r>
        <w:t xml:space="preserve"> i </w:t>
      </w:r>
      <w:r>
        <w:rPr>
          <w:rFonts w:ascii="Consolas" w:hAnsi="Consolas"/>
          <w:sz w:val="21"/>
        </w:rPr>
        <w:t>ota_1</w:t>
      </w:r>
      <w:r>
        <w:t xml:space="preserve">) i mali odeljak </w:t>
      </w:r>
      <w:r>
        <w:rPr>
          <w:rFonts w:ascii="Consolas" w:hAnsi="Consolas"/>
          <w:sz w:val="21"/>
        </w:rPr>
        <w:t>otadata</w:t>
      </w:r>
      <w:r>
        <w:t xml:space="preserve"> koji bira aktivni slot, uz standardne odeljke za trajnu memoriju i inicijalizaciju radija. Raspored particija dat je u sledećoj tabeli.</w:t>
      </w:r>
    </w:p>
    <w:p>
      <w:pPr>
        <w:spacing w:before="80" w:after="80"/>
        <w:jc w:val="left"/>
        <w:keepNext/>
      </w:pPr>
      <w:r>
        <w:rPr>
          <w:b/>
          <w:i/>
          <w:sz w:val="19"/>
        </w:rPr>
        <w:t xml:space="preserve">Tabela 9. </w:t>
      </w:r>
      <w:r>
        <w:rPr>
          <w:i/>
          <w:sz w:val="19"/>
        </w:rPr>
        <w:t>Dual-OTA tabela particija na fleš memoriji od 4 MB</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Naziv</w:t>
            </w:r>
          </w:p>
        </w:tc>
        <w:tc>
          <w:tcPr>
            <w:tcW w:type="dxa" w:w="2929"/>
            <w:shd w:val="clear" w:color="auto" w:fill="1f3864"/>
            <w:vAlign w:val="center"/>
          </w:tcPr>
          <w:p>
            <w:pPr>
              <w:spacing w:after="40" w:before="40"/>
              <w:jc w:val="center"/>
            </w:pPr>
            <w:r>
              <w:rPr>
                <w:b/>
                <w:color w:val="FFFFFF"/>
                <w:sz w:val="19"/>
              </w:rPr>
              <w:t>Tip / podtip</w:t>
            </w:r>
          </w:p>
        </w:tc>
        <w:tc>
          <w:tcPr>
            <w:tcW w:type="dxa" w:w="2929"/>
            <w:shd w:val="clear" w:color="auto" w:fill="1f3864"/>
            <w:vAlign w:val="center"/>
          </w:tcPr>
          <w:p>
            <w:pPr>
              <w:spacing w:after="40" w:before="40"/>
              <w:jc w:val="center"/>
            </w:pPr>
            <w:r>
              <w:rPr>
                <w:b/>
                <w:color w:val="FFFFFF"/>
                <w:sz w:val="19"/>
              </w:rPr>
              <w:t>Veličina</w:t>
            </w:r>
          </w:p>
        </w:tc>
      </w:tr>
      <w:tr>
        <w:tc>
          <w:tcPr>
            <w:tcW w:type="dxa" w:w="2929"/>
            <w:vAlign w:val="center"/>
          </w:tcPr>
          <w:p>
            <w:pPr>
              <w:spacing w:after="20" w:before="20"/>
            </w:pPr>
            <w:r>
              <w:rPr>
                <w:b/>
                <w:sz w:val="19"/>
              </w:rPr>
              <w:t>nvs</w:t>
            </w:r>
          </w:p>
        </w:tc>
        <w:tc>
          <w:tcPr>
            <w:tcW w:type="dxa" w:w="2929"/>
            <w:vAlign w:val="center"/>
          </w:tcPr>
          <w:p>
            <w:pPr>
              <w:spacing w:after="20" w:before="20"/>
            </w:pPr>
            <w:r>
              <w:rPr>
                <w:sz w:val="19"/>
              </w:rPr>
              <w:t>data / nvs</w:t>
            </w:r>
          </w:p>
        </w:tc>
        <w:tc>
          <w:tcPr>
            <w:tcW w:type="dxa" w:w="2929"/>
            <w:vAlign w:val="center"/>
          </w:tcPr>
          <w:p>
            <w:pPr>
              <w:spacing w:after="20" w:before="20"/>
            </w:pPr>
            <w:r>
              <w:rPr>
                <w:sz w:val="19"/>
              </w:rPr>
              <w:t>16 KB</w:t>
            </w:r>
          </w:p>
        </w:tc>
      </w:tr>
      <w:tr>
        <w:tc>
          <w:tcPr>
            <w:tcW w:type="dxa" w:w="2929"/>
            <w:vAlign w:val="center"/>
          </w:tcPr>
          <w:p>
            <w:pPr>
              <w:spacing w:after="20" w:before="20"/>
            </w:pPr>
            <w:r>
              <w:rPr>
                <w:b/>
                <w:sz w:val="19"/>
              </w:rPr>
              <w:t>otadata</w:t>
            </w:r>
          </w:p>
        </w:tc>
        <w:tc>
          <w:tcPr>
            <w:tcW w:type="dxa" w:w="2929"/>
            <w:vAlign w:val="center"/>
          </w:tcPr>
          <w:p>
            <w:pPr>
              <w:spacing w:after="20" w:before="20"/>
            </w:pPr>
            <w:r>
              <w:rPr>
                <w:sz w:val="19"/>
              </w:rPr>
              <w:t>data / ota</w:t>
            </w:r>
          </w:p>
        </w:tc>
        <w:tc>
          <w:tcPr>
            <w:tcW w:type="dxa" w:w="2929"/>
            <w:vAlign w:val="center"/>
          </w:tcPr>
          <w:p>
            <w:pPr>
              <w:spacing w:after="20" w:before="20"/>
            </w:pPr>
            <w:r>
              <w:rPr>
                <w:sz w:val="19"/>
              </w:rPr>
              <w:t>8 KB</w:t>
            </w:r>
          </w:p>
        </w:tc>
      </w:tr>
      <w:tr>
        <w:tc>
          <w:tcPr>
            <w:tcW w:type="dxa" w:w="2929"/>
            <w:vAlign w:val="center"/>
          </w:tcPr>
          <w:p>
            <w:pPr>
              <w:spacing w:after="20" w:before="20"/>
            </w:pPr>
            <w:r>
              <w:rPr>
                <w:b/>
                <w:sz w:val="19"/>
              </w:rPr>
              <w:t>phy_init</w:t>
            </w:r>
          </w:p>
        </w:tc>
        <w:tc>
          <w:tcPr>
            <w:tcW w:type="dxa" w:w="2929"/>
            <w:vAlign w:val="center"/>
          </w:tcPr>
          <w:p>
            <w:pPr>
              <w:spacing w:after="20" w:before="20"/>
            </w:pPr>
            <w:r>
              <w:rPr>
                <w:sz w:val="19"/>
              </w:rPr>
              <w:t>data / phy</w:t>
            </w:r>
          </w:p>
        </w:tc>
        <w:tc>
          <w:tcPr>
            <w:tcW w:type="dxa" w:w="2929"/>
            <w:vAlign w:val="center"/>
          </w:tcPr>
          <w:p>
            <w:pPr>
              <w:spacing w:after="20" w:before="20"/>
            </w:pPr>
            <w:r>
              <w:rPr>
                <w:sz w:val="19"/>
              </w:rPr>
              <w:t>4 KB</w:t>
            </w:r>
          </w:p>
        </w:tc>
      </w:tr>
      <w:tr>
        <w:tc>
          <w:tcPr>
            <w:tcW w:type="dxa" w:w="2929"/>
            <w:vAlign w:val="center"/>
          </w:tcPr>
          <w:p>
            <w:pPr>
              <w:spacing w:after="20" w:before="20"/>
            </w:pPr>
            <w:r>
              <w:rPr>
                <w:b/>
                <w:sz w:val="19"/>
              </w:rPr>
              <w:t>ota_0</w:t>
            </w:r>
          </w:p>
        </w:tc>
        <w:tc>
          <w:tcPr>
            <w:tcW w:type="dxa" w:w="2929"/>
            <w:vAlign w:val="center"/>
          </w:tcPr>
          <w:p>
            <w:pPr>
              <w:spacing w:after="20" w:before="20"/>
            </w:pPr>
            <w:r>
              <w:rPr>
                <w:sz w:val="19"/>
              </w:rPr>
              <w:t>app / ota_0</w:t>
            </w:r>
          </w:p>
        </w:tc>
        <w:tc>
          <w:tcPr>
            <w:tcW w:type="dxa" w:w="2929"/>
            <w:vAlign w:val="center"/>
          </w:tcPr>
          <w:p>
            <w:pPr>
              <w:spacing w:after="20" w:before="20"/>
            </w:pPr>
            <w:r>
              <w:rPr>
                <w:sz w:val="19"/>
              </w:rPr>
              <w:t>≈ 1,75 MB</w:t>
            </w:r>
          </w:p>
        </w:tc>
      </w:tr>
      <w:tr>
        <w:tc>
          <w:tcPr>
            <w:tcW w:type="dxa" w:w="2929"/>
            <w:vAlign w:val="center"/>
          </w:tcPr>
          <w:p>
            <w:pPr>
              <w:spacing w:after="20" w:before="20"/>
            </w:pPr>
            <w:r>
              <w:rPr>
                <w:b/>
                <w:sz w:val="19"/>
              </w:rPr>
              <w:t>ota_1</w:t>
            </w:r>
          </w:p>
        </w:tc>
        <w:tc>
          <w:tcPr>
            <w:tcW w:type="dxa" w:w="2929"/>
            <w:vAlign w:val="center"/>
          </w:tcPr>
          <w:p>
            <w:pPr>
              <w:spacing w:after="20" w:before="20"/>
            </w:pPr>
            <w:r>
              <w:rPr>
                <w:sz w:val="19"/>
              </w:rPr>
              <w:t>app / ota_1</w:t>
            </w:r>
          </w:p>
        </w:tc>
        <w:tc>
          <w:tcPr>
            <w:tcW w:type="dxa" w:w="2929"/>
            <w:vAlign w:val="center"/>
          </w:tcPr>
          <w:p>
            <w:pPr>
              <w:spacing w:after="20" w:before="20"/>
            </w:pPr>
            <w:r>
              <w:rPr>
                <w:sz w:val="19"/>
              </w:rPr>
              <w:t>≈ 1,75 MB</w:t>
            </w:r>
          </w:p>
        </w:tc>
      </w:tr>
    </w:tbl>
    <w:p>
      <w:pPr>
        <w:pStyle w:val="Heading3"/>
        <w:keepNext/>
      </w:pPr>
      <w:r>
        <w:t>Po-pločni moduli i konvencije</w:t>
      </w:r>
    </w:p>
    <w:p>
      <w:r>
        <w:t xml:space="preserve">Iznad deljene osnove, svaka ploča svodi se na datoteku </w:t>
      </w:r>
      <w:r>
        <w:rPr>
          <w:rFonts w:ascii="Consolas" w:hAnsi="Consolas"/>
          <w:sz w:val="21"/>
        </w:rPr>
        <w:t>main.c</w:t>
      </w:r>
      <w:r>
        <w:t xml:space="preserve"> (koja definiše pinove i poziva jedan ulaz </w:t>
      </w:r>
      <w:r>
        <w:rPr>
          <w:rFonts w:ascii="Consolas" w:hAnsi="Consolas"/>
          <w:sz w:val="21"/>
        </w:rPr>
        <w:t>*_start()</w:t>
      </w:r>
      <w:r>
        <w:t xml:space="preserve">, a zatim prelazi u mirovanje) i pripadajući aplikacioni modul. Referentni čvor nosi modul </w:t>
      </w:r>
      <w:r>
        <w:rPr>
          <w:rFonts w:ascii="Consolas" w:hAnsi="Consolas"/>
          <w:sz w:val="21"/>
        </w:rPr>
        <w:t>lights.c</w:t>
      </w:r>
      <w:r>
        <w:t xml:space="preserve">, a čvor </w:t>
      </w:r>
      <w:r>
        <w:rPr>
          <w:rFonts w:ascii="Consolas" w:hAnsi="Consolas"/>
          <w:sz w:val="21"/>
        </w:rPr>
        <w:t>esp2</w:t>
      </w:r>
      <w:r>
        <w:t xml:space="preserve"> module </w:t>
      </w:r>
      <w:r>
        <w:rPr>
          <w:rFonts w:ascii="Consolas" w:hAnsi="Consolas"/>
          <w:sz w:val="21"/>
        </w:rPr>
        <w:t>climate.c</w:t>
      </w:r>
      <w:r>
        <w:t xml:space="preserve"> i </w:t>
      </w:r>
      <w:r>
        <w:rPr>
          <w:rFonts w:ascii="Consolas" w:hAnsi="Consolas"/>
          <w:sz w:val="21"/>
        </w:rPr>
        <w:t>dht22.c</w:t>
      </w:r>
      <w:r>
        <w:t xml:space="preserve">; potonji je zadržan iz ranije izvedbe sa fizičkim senzorom, dok verzija v3.0.0 objavljuje simulirane temperature. Svaki ulaz </w:t>
      </w:r>
      <w:r>
        <w:rPr>
          <w:rFonts w:ascii="Consolas" w:hAnsi="Consolas"/>
          <w:sz w:val="21"/>
        </w:rPr>
        <w:t>*_start()</w:t>
      </w:r>
      <w:r>
        <w:t xml:space="preserve"> prati isti oblik: inicijalizacija ulazno/izlaznih pinova (</w:t>
      </w:r>
      <w:r>
        <w:rPr>
          <w:i/>
        </w:rPr>
        <w:t>General-Purpose Input/Output</w:t>
      </w:r>
      <w:r>
        <w:t xml:space="preserve">, GPIO), pokretanje mreže, opis uređaja, uspostava </w:t>
      </w:r>
      <w:r>
        <w:rPr>
          <w:i/>
        </w:rPr>
        <w:t>MQTT</w:t>
      </w:r>
      <w:r>
        <w:t xml:space="preserve"> veze i, po potrebi, periodični zadatak.</w:t>
      </w:r>
    </w:p>
    <w:p>
      <w:r>
        <w:t xml:space="preserve">Dva povratna poziva čine srž obrasca po ploči. Povratni poziv </w:t>
      </w:r>
      <w:r>
        <w:rPr>
          <w:rFonts w:ascii="Consolas" w:hAnsi="Consolas"/>
          <w:sz w:val="21"/>
        </w:rPr>
        <w:t>on_connect()</w:t>
      </w:r>
      <w:r>
        <w:t xml:space="preserve"> mora biti </w:t>
      </w:r>
      <w:r>
        <w:rPr>
          <w:i/>
        </w:rPr>
        <w:t>idempotentan</w:t>
      </w:r>
      <w:r>
        <w:t xml:space="preserve">, jer se izvršava pri svakom povezivanju: u njemu se čvor iznova pretplaćuje na svoje komandne teme, objavljuje </w:t>
      </w:r>
      <w:r>
        <w:rPr>
          <w:i/>
        </w:rPr>
        <w:t>MQTT Discovery</w:t>
      </w:r>
      <w:r>
        <w:t xml:space="preserve"> konfiguraciju i objavljuje trenutno stanje, pa se sistem dovodi u konzistentno stanje bez obzira na broj ponovnih povezivanja. Povratni poziv </w:t>
      </w:r>
      <w:r>
        <w:rPr>
          <w:rFonts w:ascii="Consolas" w:hAnsi="Consolas"/>
          <w:sz w:val="21"/>
        </w:rPr>
        <w:t>on_message()</w:t>
      </w:r>
      <w:r>
        <w:t xml:space="preserve"> uparuje dolaznu temu i primenjuje komandu.</w:t>
      </w:r>
    </w:p>
    <w:p>
      <w:r>
        <w:t xml:space="preserve">Jedna implementaciona konvencija posebno je važna za pouzdanost. Dolazne </w:t>
      </w:r>
      <w:r>
        <w:rPr>
          <w:i/>
        </w:rPr>
        <w:t>MQTT</w:t>
      </w:r>
      <w:r>
        <w:t xml:space="preserve"> poruke — i naziv teme i korisni sadržaj — </w:t>
      </w:r>
      <w:r>
        <w:rPr>
          <w:i/>
        </w:rPr>
        <w:t>nisu</w:t>
      </w:r>
      <w:r>
        <w:t xml:space="preserve"> null-terminisane, već stižu uz eksplicitne dužine. Zato se poklapanje uvek radi po dužini (funkcijom </w:t>
      </w:r>
      <w:r>
        <w:rPr>
          <w:rFonts w:ascii="Consolas" w:hAnsi="Consolas"/>
          <w:sz w:val="21"/>
        </w:rPr>
        <w:t>strncmp</w:t>
      </w:r>
      <w:r>
        <w:t xml:space="preserve"> uz proveru dužine), nikada funkcijama koje pretpostavljaju završni nul-znak nad sirovim pokazivačem. Isti oprez primenjuje se dosledno u svakom </w:t>
      </w:r>
      <w:r>
        <w:rPr>
          <w:rFonts w:ascii="Consolas" w:hAnsi="Consolas"/>
          <w:sz w:val="21"/>
        </w:rPr>
        <w:t>on_message()</w:t>
      </w:r>
      <w:r>
        <w:t xml:space="preserve"> i u sloju za nadogradnju.</w:t>
      </w:r>
    </w:p>
    <w:p>
      <w:pPr>
        <w:pStyle w:val="Heading2"/>
        <w:keepNext/>
      </w:pPr>
      <w:r>
        <w:t>Kriptografska priprema i broker</w:t>
      </w:r>
    </w:p>
    <w:p>
      <w:r>
        <w:t xml:space="preserve">Da bi čvor </w:t>
      </w:r>
      <w:r>
        <w:rPr>
          <w:rFonts w:ascii="Consolas" w:hAnsi="Consolas"/>
          <w:sz w:val="21"/>
        </w:rPr>
        <w:t>esp2</w:t>
      </w:r>
      <w:r>
        <w:t xml:space="preserve"> uopšte mogao da komunicira preko </w:t>
      </w:r>
      <w:r>
        <w:rPr>
          <w:i/>
        </w:rPr>
        <w:t>MQTTS</w:t>
      </w:r>
      <w:r>
        <w:t xml:space="preserve">-a, broker na Raspberry Pi-ju mora ponuditi </w:t>
      </w:r>
      <w:r>
        <w:rPr>
          <w:i/>
        </w:rPr>
        <w:t>TLS</w:t>
      </w:r>
      <w:r>
        <w:t xml:space="preserve"> listener sa važećim serverskim sertifikatom, a čvor mora unapred posedovati sredstvo za proveru tog sertifikata. Ovaj odeljak opisuje obe strane te pripreme: konfiguraciju brokera </w:t>
      </w:r>
      <w:r>
        <w:rPr>
          <w:i/>
        </w:rPr>
        <w:t>Mosquitto</w:t>
      </w:r>
      <w:r>
        <w:t xml:space="preserve"> i infrastrukturu javnih ključeva kojom se izdaje i proverava serverski sertifikat.</w:t>
      </w:r>
    </w:p>
    <w:p>
      <w:pPr>
        <w:pStyle w:val="Heading3"/>
        <w:keepNext/>
      </w:pPr>
      <w:r>
        <w:t>Mosquitto konfiguracija</w:t>
      </w:r>
    </w:p>
    <w:p>
      <w:r>
        <w:t xml:space="preserve">Broker </w:t>
      </w:r>
      <w:r>
        <w:rPr>
          <w:i/>
        </w:rPr>
        <w:t>Mosquitto</w:t>
      </w:r>
      <w:r>
        <w:t xml:space="preserve"> podešen je sa </w:t>
      </w:r>
      <w:r>
        <w:rPr>
          <w:i/>
        </w:rPr>
        <w:t>dva listenera</w:t>
      </w:r>
      <w:r>
        <w:t xml:space="preserve"> na istom uređaju: nešifrovanim na portu 1883, kojim se koriste referentni čvor i lokalno povezan kontroler, i </w:t>
      </w:r>
      <w:r>
        <w:rPr>
          <w:i/>
        </w:rPr>
        <w:t>TLS</w:t>
      </w:r>
      <w:r>
        <w:t xml:space="preserve"> listenerom na portu 8883, kojim se koristi zaštićeni čvor. </w:t>
      </w:r>
      <w:r>
        <w:rPr>
          <w:i/>
        </w:rPr>
        <w:t>TLS</w:t>
      </w:r>
      <w:r>
        <w:t xml:space="preserve"> je serverskog tipa — čvor proverava broker, ali se od čvora ne zahteva klijentski sertifikat (</w:t>
      </w:r>
      <w:r>
        <w:rPr>
          <w:rFonts w:ascii="Consolas" w:hAnsi="Consolas"/>
          <w:sz w:val="21"/>
        </w:rPr>
        <w:t>require_certificate false</w:t>
      </w:r>
      <w:r>
        <w:t xml:space="preserve">) — a verzija protokola fiksirana je na </w:t>
      </w:r>
      <w:r>
        <w:rPr>
          <w:i/>
        </w:rPr>
        <w:t>TLS 1.2</w:t>
      </w:r>
      <w:r>
        <w:t>, što odgovara mogućnostima biblioteke mbedTLS u firmveru. Provera identiteta korisnika (korisničko ime i lozinka) deljena je globalno i važi za oba listenera.</w:t>
      </w:r>
    </w:p>
    <w:tbl>
      <w:tblPr>
        <w:tblStyle w:val="TableGrid"/>
        <w:tblW w:type="auto" w:w="0"/>
        <w:jc w:val="center"/>
        <w:tblLayout w:type="fixed"/>
        <w:tblLook w:firstColumn="1" w:firstRow="1" w:lastColumn="0" w:lastRow="0" w:noHBand="0" w:noVBand="1" w:val="04A0"/>
        <w:tblLayout w:type="fixed"/>
        <w:tblW w:w="9072" w:type="dxa"/>
      </w:tblPr>
      <w:tblGrid>
        <w:gridCol w:w="8788"/>
      </w:tblGrid>
      <w:tr>
        <w:tc>
          <w:tcPr>
            <w:tcW w:type="dxa" w:w="8788"/>
            <w:shd w:val="clear" w:color="auto" w:fill="f2f1ec"/>
          </w:tcPr>
          <w:p>
            <w:pPr>
              <w:spacing w:after="40" w:before="40"/>
            </w:pPr>
            <w:r>
              <w:rPr>
                <w:rFonts w:ascii="Consolas" w:hAnsi="Consolas"/>
                <w:sz w:val="18"/>
              </w:rPr>
              <w:t>password_file /etc/mosquitto/passwd</w:t>
              <w:br/>
            </w:r>
            <w:r>
              <w:rPr>
                <w:rFonts w:ascii="Consolas" w:hAnsi="Consolas"/>
                <w:sz w:val="18"/>
              </w:rPr>
              <w:t>allow_anonymous false           # globalna provera identiteta za oba listenera</w:t>
              <w:br/>
            </w:r>
            <w:r>
              <w:rPr>
                <w:rFonts w:ascii="Consolas" w:hAnsi="Consolas"/>
                <w:sz w:val="18"/>
              </w:rPr>
              <w:br/>
            </w:r>
            <w:r>
              <w:rPr>
                <w:rFonts w:ascii="Consolas" w:hAnsi="Consolas"/>
                <w:sz w:val="18"/>
              </w:rPr>
              <w:t># Listener 1: plain (esp1 + Home Assistant preko loopback-a)</w:t>
              <w:br/>
            </w:r>
            <w:r>
              <w:rPr>
                <w:rFonts w:ascii="Consolas" w:hAnsi="Consolas"/>
                <w:sz w:val="18"/>
              </w:rPr>
              <w:t>listener 1883</w:t>
              <w:br/>
            </w:r>
            <w:r>
              <w:rPr>
                <w:rFonts w:ascii="Consolas" w:hAnsi="Consolas"/>
                <w:sz w:val="18"/>
              </w:rPr>
              <w:br/>
            </w:r>
            <w:r>
              <w:rPr>
                <w:rFonts w:ascii="Consolas" w:hAnsi="Consolas"/>
                <w:sz w:val="18"/>
              </w:rPr>
              <w:t># Listener 2: MQTTS / TLS (esp2)</w:t>
              <w:br/>
            </w:r>
            <w:r>
              <w:rPr>
                <w:rFonts w:ascii="Consolas" w:hAnsi="Consolas"/>
                <w:sz w:val="18"/>
              </w:rPr>
              <w:t>listener 8883</w:t>
              <w:br/>
            </w:r>
            <w:r>
              <w:rPr>
                <w:rFonts w:ascii="Consolas" w:hAnsi="Consolas"/>
                <w:sz w:val="18"/>
              </w:rPr>
              <w:t>cafile   /etc/mosquitto/certs/ca.crt</w:t>
              <w:br/>
            </w:r>
            <w:r>
              <w:rPr>
                <w:rFonts w:ascii="Consolas" w:hAnsi="Consolas"/>
                <w:sz w:val="18"/>
              </w:rPr>
              <w:t>certfile /etc/mosquitto/certs/server.crt</w:t>
              <w:br/>
            </w:r>
            <w:r>
              <w:rPr>
                <w:rFonts w:ascii="Consolas" w:hAnsi="Consolas"/>
                <w:sz w:val="18"/>
              </w:rPr>
              <w:t>keyfile  /etc/mosquitto/certs/server.key</w:t>
              <w:br/>
            </w:r>
            <w:r>
              <w:rPr>
                <w:rFonts w:ascii="Consolas" w:hAnsi="Consolas"/>
                <w:sz w:val="18"/>
              </w:rPr>
              <w:t>tls_version tlsv1.2</w:t>
              <w:br/>
            </w:r>
            <w:r>
              <w:rPr>
                <w:rFonts w:ascii="Consolas" w:hAnsi="Consolas"/>
                <w:sz w:val="18"/>
              </w:rPr>
              <w:t>require_certificate false</w:t>
            </w:r>
          </w:p>
        </w:tc>
      </w:tr>
    </w:tbl>
    <w:p>
      <w:r>
        <w:t xml:space="preserve">Bitna suptilnost jeste da opcija </w:t>
      </w:r>
      <w:r>
        <w:rPr>
          <w:rFonts w:ascii="Consolas" w:hAnsi="Consolas"/>
          <w:sz w:val="21"/>
        </w:rPr>
        <w:t>per_listener_settings</w:t>
      </w:r>
      <w:r>
        <w:t xml:space="preserve"> mora ostati isključena: da je uključena, provera identiteta postala bi svojstvo pojedinog listenera, pa bi globalna auth tiho prestala da važi i veze bi padale. Nasuprot tome, </w:t>
      </w:r>
      <w:r>
        <w:rPr>
          <w:i/>
        </w:rPr>
        <w:t>TLS</w:t>
      </w:r>
      <w:r>
        <w:t xml:space="preserve"> opcije (sertifikat izdavaoca, serverski sertifikat i ključ) uvek su vezane za pojedini listener. Serverski privatni ključ mora biti neenkriptovan, jer bi u suprotnom broker pri pokretanju zastao čekajući lozinku.</w:t>
      </w:r>
    </w:p>
    <w:p>
      <w:pPr>
        <w:pStyle w:val="Heading3"/>
        <w:keepNext/>
      </w:pPr>
      <w:r>
        <w:t>Infrastruktura javnih ključeva (PKI)</w:t>
      </w:r>
    </w:p>
    <w:p>
      <w:r>
        <w:t xml:space="preserve">Provera identiteta servera oslanja se na infrastrukturu javnih ključeva (engl. </w:t>
      </w:r>
      <w:r>
        <w:rPr>
          <w:i/>
        </w:rPr>
        <w:t>Public Key Infrastructure</w:t>
      </w:r>
      <w:r>
        <w:t xml:space="preserve">, PKI), koja je za ovaj sistem izgrađena lokalno pomoću alata </w:t>
      </w:r>
      <w:r>
        <w:rPr>
          <w:i/>
        </w:rPr>
        <w:t>OpenSSL</w:t>
      </w:r>
      <w:r>
        <w:t xml:space="preserve">. Najpre se stvara sopstveni izdavalac sertifikata (engl. </w:t>
      </w:r>
      <w:r>
        <w:rPr>
          <w:i/>
        </w:rPr>
        <w:t>Certificate Authority</w:t>
      </w:r>
      <w:r>
        <w:t>, CA) — par ključeva i samopotpisani sertifikat (</w:t>
      </w:r>
      <w:r>
        <w:rPr>
          <w:i/>
        </w:rPr>
        <w:t>RSA</w:t>
      </w:r>
      <w:r>
        <w:t xml:space="preserve"> 2048 bita, heš </w:t>
      </w:r>
      <w:r>
        <w:rPr>
          <w:i/>
        </w:rPr>
        <w:t>SHA-256</w:t>
      </w:r>
      <w:r>
        <w:t>, rok deset godina) — a zatim se njime potpisuje serverski sertifikat za broker. Pošto su svi učesnici pod kontrolom istog domaćinstva, privatni (lokalni) izdavalac potpuno je dovoljan, i nudi prednost u odnosu na javni jer se lanac poverenja svodi na jedan, sopstveni koren.</w:t>
      </w:r>
    </w:p>
    <w:p>
      <w:r>
        <w:t xml:space="preserve">Presudan detalj je </w:t>
      </w:r>
      <w:r>
        <w:rPr>
          <w:i/>
        </w:rPr>
        <w:t>ime u sertifikatu</w:t>
      </w:r>
      <w:r>
        <w:t xml:space="preserve">. Serverski sertifikat izdaje se sa imenom </w:t>
      </w:r>
      <w:r>
        <w:rPr>
          <w:rFonts w:ascii="Consolas" w:hAnsi="Consolas"/>
          <w:sz w:val="21"/>
        </w:rPr>
        <w:t>CN=pihome.local</w:t>
      </w:r>
      <w:r>
        <w:t xml:space="preserve"> i, što je odlučujuće, sa adresom upisanom u savremeno polje </w:t>
      </w:r>
      <w:r>
        <w:rPr>
          <w:i/>
        </w:rPr>
        <w:t>Subject Alternative Name (SAN)</w:t>
      </w:r>
      <w:r>
        <w:t xml:space="preserve"> kao </w:t>
      </w:r>
      <w:r>
        <w:rPr>
          <w:rFonts w:ascii="Consolas" w:hAnsi="Consolas"/>
          <w:sz w:val="21"/>
        </w:rPr>
        <w:t>IP:192.168.0.10</w:t>
      </w:r>
      <w:r>
        <w:t xml:space="preserve"> (uz odgovarajući </w:t>
      </w:r>
      <w:r>
        <w:rPr>
          <w:i/>
        </w:rPr>
        <w:t>DNS</w:t>
      </w:r>
      <w:r>
        <w:t xml:space="preserve"> unos). Moderne implementacije, uključujući mbedTLS na </w:t>
      </w:r>
      <w:r>
        <w:rPr>
          <w:i/>
        </w:rPr>
        <w:t>ESP32</w:t>
      </w:r>
      <w:r>
        <w:t xml:space="preserve">, identitet proveravaju upravo prema polju </w:t>
      </w:r>
      <w:r>
        <w:rPr>
          <w:i/>
        </w:rPr>
        <w:t>SAN</w:t>
      </w:r>
      <w:r>
        <w:t xml:space="preserve">, a ne prema starijem polju </w:t>
      </w:r>
      <w:r>
        <w:rPr>
          <w:i/>
        </w:rPr>
        <w:t>Common Name (CN)</w:t>
      </w:r>
      <w:r>
        <w:t xml:space="preserve">; sertifikat sa adresom navedenom samo u polju </w:t>
      </w:r>
      <w:r>
        <w:rPr>
          <w:i/>
        </w:rPr>
        <w:t>CN</w:t>
      </w:r>
      <w:r>
        <w:t xml:space="preserve"> stoga ne bi prošao proveru.</w:t>
      </w:r>
    </w:p>
    <w:p>
      <w:r>
        <w:t xml:space="preserve">Verifikacija koju čvor sprovodi razdvaja se na dve nezavisne provere. Prva je </w:t>
      </w:r>
      <w:r>
        <w:rPr>
          <w:i/>
        </w:rPr>
        <w:t>poverenje</w:t>
      </w:r>
      <w:r>
        <w:t xml:space="preserve">: da li je serverski sertifikat potpisan izdavaocem kome čvor veruje. Ova provera je uvek aktivna i oslanja se na to da privatni ključ izdavaoca nikada ne napušta Raspberry Pi, pa napadač ne može da proizvede ispravno potpisan sertifikat. Druga je </w:t>
      </w:r>
      <w:r>
        <w:rPr>
          <w:i/>
        </w:rPr>
        <w:t>identitet</w:t>
      </w:r>
      <w:r>
        <w:t xml:space="preserve">: da li se adresa koju je čvor pozvao poklapa sa imenom u polju </w:t>
      </w:r>
      <w:r>
        <w:rPr>
          <w:i/>
        </w:rPr>
        <w:t>SAN</w:t>
      </w:r>
      <w:r>
        <w:t xml:space="preserve">. Na uređaj se pritom ugrađuje </w:t>
      </w:r>
      <w:r>
        <w:rPr>
          <w:i/>
        </w:rPr>
        <w:t>isključivo</w:t>
      </w:r>
      <w:r>
        <w:t xml:space="preserve"> javni sertifikat izdavaoca (</w:t>
      </w:r>
      <w:r>
        <w:rPr>
          <w:rFonts w:ascii="Consolas" w:hAnsi="Consolas"/>
          <w:sz w:val="21"/>
        </w:rPr>
        <w:t>ca.crt</w:t>
      </w:r>
      <w:r>
        <w:t>) — nikada privatni ključevi (</w:t>
      </w:r>
      <w:r>
        <w:rPr>
          <w:rFonts w:ascii="Consolas" w:hAnsi="Consolas"/>
          <w:sz w:val="21"/>
        </w:rPr>
        <w:t>ca.key</w:t>
      </w:r>
      <w:r>
        <w:t xml:space="preserve"> ni </w:t>
      </w:r>
      <w:r>
        <w:rPr>
          <w:rFonts w:ascii="Consolas" w:hAnsi="Consolas"/>
          <w:sz w:val="21"/>
        </w:rPr>
        <w:t>server.key</w:t>
      </w:r>
      <w:r>
        <w:t>) — pa kompromitovanje čvora ne otkriva tajni materijal potreban za lažno predstavljanje brokera.</w:t>
      </w:r>
    </w:p>
    <w:p>
      <w:pPr>
        <w:pStyle w:val="Heading2"/>
        <w:keepNext/>
      </w:pPr>
      <w:r>
        <w:t>OTA podsistem (nadogradnja preko vazduha)</w:t>
      </w:r>
    </w:p>
    <w:p>
      <w:r>
        <w:t xml:space="preserve">Daljinska nadogradnja firmvera (engl. </w:t>
      </w:r>
      <w:r>
        <w:rPr>
          <w:i/>
        </w:rPr>
        <w:t>Over-The-Air</w:t>
      </w:r>
      <w:r>
        <w:t xml:space="preserve">, OTA) omogućava zamenu firmvera preko mreže, bez fizičkog pristupa uređaju. U ovom sistemu ceo podsistem implementiran je jednom, u deljenoj komponenti, i primenjuje se na svaku ploču bez ijedne linije izmene u njenom kodu — jer je vezan za centralnu dispečersku tačku </w:t>
      </w:r>
      <w:r>
        <w:rPr>
          <w:i/>
        </w:rPr>
        <w:t>MQTT</w:t>
      </w:r>
      <w:r>
        <w:t xml:space="preserve"> saobraćaja. Nadogradnja se </w:t>
      </w:r>
      <w:r>
        <w:rPr>
          <w:i/>
        </w:rPr>
        <w:t>okida preko MQTT-a</w:t>
      </w:r>
      <w:r>
        <w:t>: kontroler prikazuje poseban entitet ažuriranja sa dugmetom za instalaciju, a čvor na svakom povezivanju dohvata manifest i objavljuje instaliranu i najnoviju verziju.</w:t>
      </w:r>
    </w:p>
    <w:p>
      <w:r>
        <w:t xml:space="preserve">Prenos slike odvija se preko </w:t>
      </w:r>
      <w:r>
        <w:rPr>
          <w:i/>
        </w:rPr>
        <w:t>HTTPS</w:t>
      </w:r>
      <w:r>
        <w:t xml:space="preserve">-a funkcijom </w:t>
      </w:r>
      <w:r>
        <w:rPr>
          <w:rFonts w:ascii="Consolas" w:hAnsi="Consolas"/>
          <w:sz w:val="21"/>
        </w:rPr>
        <w:t>esp_https_ota</w:t>
      </w:r>
      <w:r>
        <w:t xml:space="preserve">, uz proveru servera preko </w:t>
      </w:r>
      <w:r>
        <w:rPr>
          <w:i/>
        </w:rPr>
        <w:t>javnog CA bundle</w:t>
      </w:r>
      <w:r>
        <w:t>-a (</w:t>
      </w:r>
      <w:r>
        <w:rPr>
          <w:rFonts w:ascii="Consolas" w:hAnsi="Consolas"/>
          <w:sz w:val="21"/>
        </w:rPr>
        <w:t>CONFIG_MBEDTLS_CERTIFICATE_BUNDLE</w:t>
      </w:r>
      <w:r>
        <w:t xml:space="preserve">), pa se firmver može hostovati na platformi GitHub Releases bez ugrađivanja posebnog sertifikata. Po ploči se objavljuju binarna slika i mali manifest oblika </w:t>
      </w:r>
      <w:r>
        <w:rPr>
          <w:rFonts w:ascii="Consolas" w:hAnsi="Consolas"/>
          <w:sz w:val="21"/>
        </w:rPr>
        <w:t>{"version":…,"url":…}</w:t>
      </w:r>
      <w:r>
        <w:t xml:space="preserve">, iz kojeg čvor saznaje da li je dostupna novija verzija. Verzija firmvera drži se u datoteci </w:t>
      </w:r>
      <w:r>
        <w:rPr>
          <w:rFonts w:ascii="Consolas" w:hAnsi="Consolas"/>
          <w:sz w:val="21"/>
        </w:rPr>
        <w:t>version.txt</w:t>
      </w:r>
      <w:r>
        <w:t xml:space="preserve">, odakle je </w:t>
      </w:r>
      <w:r>
        <w:rPr>
          <w:i/>
        </w:rPr>
        <w:t>ESP-IDF</w:t>
      </w:r>
      <w:r>
        <w:t xml:space="preserve"> upisuje u deskriptor aplikacije i odakle je čitaju i sloj za nadogradnju i modul za automatsko otkrivanje.</w:t>
      </w:r>
    </w:p>
    <w:p>
      <w:r>
        <w:t xml:space="preserve">Bezbednost nadogradnje počiva na </w:t>
      </w:r>
      <w:r>
        <w:rPr>
          <w:i/>
        </w:rPr>
        <w:t>dual-OTA</w:t>
      </w:r>
      <w:r>
        <w:t xml:space="preserve"> particijama i mehanizmu vraćanja (engl. </w:t>
      </w:r>
      <w:r>
        <w:rPr>
          <w:i/>
        </w:rPr>
        <w:t>rollback</w:t>
      </w:r>
      <w:r>
        <w:t xml:space="preserve">). Nova slika upisuje se u neaktivni slot, uređaj se restartuje na nju, ali se ona smatra tek uslovno ispravnom sve dok ponovo ne uspostavi </w:t>
      </w:r>
      <w:r>
        <w:rPr>
          <w:i/>
        </w:rPr>
        <w:t>MQTT</w:t>
      </w:r>
      <w:r>
        <w:t xml:space="preserve"> vezu; tek tada se slika potvrđuje kao valjana. Ako se novi firmver ne poveže, bootloader ga pri sledećem pokretanju automatski vraća na prethodnu ispravnu sliku — čime je uređaj zaštićen od trajnog kvara neispravnim firmverom. Dva praktična ograničenja treba istaći: podsistem zahteva fleš memoriju od 4 MB, i ne može sam sebe da pokrene — prva slika mora se flešovati preko </w:t>
      </w:r>
      <w:r>
        <w:rPr>
          <w:i/>
        </w:rPr>
        <w:t>USB</w:t>
      </w:r>
      <w:r>
        <w:t>-a.</w:t>
      </w:r>
    </w:p>
    <w:p>
      <w:r>
        <w:t xml:space="preserve">Merenjem uživo utvrđeno je i jedno konkretno ograničenje trenutne izvedbe. Stabilni GitHub URL oblika </w:t>
      </w:r>
      <w:r>
        <w:rPr>
          <w:rFonts w:ascii="Consolas" w:hAnsi="Consolas"/>
          <w:sz w:val="21"/>
        </w:rPr>
        <w:t>.../releases/latest/download/&lt;asset&gt;</w:t>
      </w:r>
      <w:r>
        <w:t xml:space="preserve"> ne isporučuje datoteku direktno, već vraća lanac preusmeravanja (</w:t>
      </w:r>
      <w:r>
        <w:rPr>
          <w:i/>
        </w:rPr>
        <w:t>HTTP 302 redirect</w:t>
      </w:r>
      <w:r>
        <w:t xml:space="preserve">) ka potpisanom URL-u na domenu </w:t>
      </w:r>
      <w:r>
        <w:rPr>
          <w:rFonts w:ascii="Consolas" w:hAnsi="Consolas"/>
          <w:sz w:val="21"/>
        </w:rPr>
        <w:t>githubusercontent.com</w:t>
      </w:r>
      <w:r>
        <w:t xml:space="preserve">. On-device klijent to preusmerenje </w:t>
      </w:r>
      <w:r>
        <w:rPr>
          <w:i/>
        </w:rPr>
        <w:t>ne prati</w:t>
      </w:r>
      <w:r>
        <w:t xml:space="preserve"> (ne čita zaglavlje </w:t>
      </w:r>
      <w:r>
        <w:rPr>
          <w:rFonts w:ascii="Consolas" w:hAnsi="Consolas"/>
          <w:sz w:val="21"/>
        </w:rPr>
        <w:t>Location</w:t>
      </w:r>
      <w:r>
        <w:t xml:space="preserve">), pa nadogradnja vraća grešku, a dohvat manifesta prijavljuje prazan odgovor. Zbog toga je za ovu demonstraciju firmver flešovan preko </w:t>
      </w:r>
      <w:r>
        <w:rPr>
          <w:i/>
        </w:rPr>
        <w:t>USB</w:t>
      </w:r>
      <w:r>
        <w:t>-a (uz verifikaciju heša), a praćenje preusmerenja ostavljeno je kao pravac daljeg rada.</w:t>
      </w:r>
    </w:p>
    <w:p>
      <w:r>
        <w:br w:type="page"/>
      </w:r>
    </w:p>
    <w:p>
      <w:pPr>
        <w:pStyle w:val="Heading1"/>
        <w:keepNext/>
      </w:pPr>
      <w:r>
        <w:t>Metodologija istraživanja</w:t>
      </w:r>
    </w:p>
    <w:p>
      <w:r>
        <w:t xml:space="preserve">Ovo poglavlje opisuje metode kojima je izmeren trošak koji sloj </w:t>
      </w:r>
      <w:r>
        <w:rPr>
          <w:i/>
        </w:rPr>
        <w:t>Transport Layer Security (TLS)</w:t>
      </w:r>
      <w:r>
        <w:t xml:space="preserve"> unosi u </w:t>
      </w:r>
      <w:r>
        <w:rPr>
          <w:i/>
        </w:rPr>
        <w:t>MQTT</w:t>
      </w:r>
      <w:r>
        <w:t xml:space="preserve"> komunikaciju na </w:t>
      </w:r>
      <w:r>
        <w:rPr>
          <w:i/>
        </w:rPr>
        <w:t>ESP32</w:t>
      </w:r>
      <w:r>
        <w:t xml:space="preserve"> čvorovima, kao i postupak kojim je proverena centralna hipoteza rada. Metodologija je zasnovana na jednom nosećem načelu — poštenom poređenju kroz unakrsno oduzimanje — i na doslednoj instrumentaciji koja je bajt-identična na oba čvora, tako da se svaka izmerena razlika može pripisati isključivo </w:t>
      </w:r>
      <w:r>
        <w:rPr>
          <w:i/>
        </w:rPr>
        <w:t>TLS</w:t>
      </w:r>
      <w:r>
        <w:t xml:space="preserve"> sloju. U nastavku se najpre određuju istraživačka pitanja i merne dimenzije, potom eksperimentalna postavka (hardver, softver i verzije, mreža i </w:t>
      </w:r>
      <w:r>
        <w:rPr>
          <w:i/>
        </w:rPr>
        <w:t>TLS</w:t>
      </w:r>
      <w:r>
        <w:t xml:space="preserve"> sloj), instrumentacija firmvera, korišćeni alati i postupak, i na kraju statistički pristup obradi prikupljenih uzoraka. Konkretne izmerene vrednosti nisu predmet ovog poglavlja — one se iznose i tumače u poglavlju o rezultatima.</w:t>
      </w:r>
    </w:p>
    <w:p>
      <w:pPr>
        <w:pStyle w:val="Heading2"/>
        <w:keepNext/>
      </w:pPr>
      <w:r>
        <w:t>Istraživačka pitanja i merne dimenzije</w:t>
      </w:r>
    </w:p>
    <w:p>
      <w:r>
        <w:t xml:space="preserve">Osnovno istraživačko pitanje glasi: koliko </w:t>
      </w:r>
      <w:r>
        <w:rPr>
          <w:i/>
        </w:rPr>
        <w:t>TLS</w:t>
      </w:r>
      <w:r>
        <w:t xml:space="preserve"> košta na ograničenim </w:t>
      </w:r>
      <w:r>
        <w:rPr>
          <w:i/>
        </w:rPr>
        <w:t>ESP32</w:t>
      </w:r>
      <w:r>
        <w:t xml:space="preserve"> uređajima i da li taj trošak narušava odzivnost sistema pametne kuće? Iz njega proizlazi hipoteza koju rad proverava, a koja se citira doslovno:</w:t>
      </w:r>
    </w:p>
    <w:p>
      <w:pPr>
        <w:pStyle w:val="IntenseQuote"/>
      </w:pPr>
      <w:r>
        <w:t>Uprkos merljivim opterećenjima (RAM, latencija/veličina paketa, vreme handshake-a), degradacija performansi ostaje unutar prihvatljivih granica (odziv &lt; 200 ms) za normalno funkcionisanje Smart Home sistema — bezbednost se drastično povećava bez narušavanja korisničkog iskustva.</w:t>
      </w:r>
    </w:p>
    <w:p>
      <w:r>
        <w:t xml:space="preserve">Ključno za oblikovanje metodologije jeste raspoznavanje dva suštinski različita troška, koje merenja moraju razdvojiti. Prvi je </w:t>
      </w:r>
      <w:r>
        <w:rPr>
          <w:i/>
        </w:rPr>
        <w:t>jednokratni</w:t>
      </w:r>
      <w:r>
        <w:t xml:space="preserve"> trošak uspostavljanja veze (</w:t>
      </w:r>
      <w:r>
        <w:rPr>
          <w:i/>
        </w:rPr>
        <w:t>TLS</w:t>
      </w:r>
      <w:r>
        <w:t xml:space="preserve"> handshake), koji se plaća pri svakom povezivanju ili ponovnom povezivanju. Drugi je trošak </w:t>
      </w:r>
      <w:r>
        <w:rPr>
          <w:i/>
        </w:rPr>
        <w:t>po komandi</w:t>
      </w:r>
      <w:r>
        <w:t xml:space="preserve"> u ustaljenom stanju, koji opterećuje svaku pojedinačnu razmenu poruka. Granica od 200 ms iz hipoteze odnosi se isključivo na ovaj drugi, po-komandni trošak — na odziv koji korisnik zaista oseti — a ne na jednokratni handshake. Zbog toga su merne dimenzije postavljene tako da svaki od dva troška bude zahvaćen zasebno.</w:t>
      </w:r>
    </w:p>
    <w:p>
      <w:r>
        <w:t>Da bi se pitanje obuhvatilo celovito, definisano je pet mernih dimenzija. Prve četiri čine izvorni merni plan (memorija, vreme handshake-a, mrežni overhead sa dokazom enkripcije i end-to-end odziv), dok je peta — iskorišćenost procesora i runtime dijagnostika — dodata u firmveru v3.0.0 radi potpunije slike o opterećenju. Naredna tabela sažima dimenzije i njihovu ulogu u proveri hipoteze.</w:t>
      </w:r>
    </w:p>
    <w:p>
      <w:pPr>
        <w:spacing w:before="80" w:after="80"/>
        <w:jc w:val="left"/>
        <w:keepNext/>
      </w:pPr>
      <w:r>
        <w:rPr>
          <w:b/>
          <w:i/>
          <w:sz w:val="19"/>
        </w:rPr>
        <w:t xml:space="preserve">Tabela 10. </w:t>
      </w:r>
      <w:r>
        <w:rPr>
          <w:i/>
          <w:sz w:val="19"/>
        </w:rPr>
        <w:t>Pet mernih dimenzija i njihova uloga u proveri hipoteze</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Merna dimenzija</w:t>
            </w:r>
          </w:p>
        </w:tc>
        <w:tc>
          <w:tcPr>
            <w:tcW w:type="dxa" w:w="2929"/>
            <w:shd w:val="clear" w:color="auto" w:fill="1f3864"/>
            <w:vAlign w:val="center"/>
          </w:tcPr>
          <w:p>
            <w:pPr>
              <w:spacing w:after="40" w:before="40"/>
              <w:jc w:val="center"/>
            </w:pPr>
            <w:r>
              <w:rPr>
                <w:b/>
                <w:color w:val="FFFFFF"/>
                <w:sz w:val="19"/>
              </w:rPr>
              <w:t>Šta se meri</w:t>
            </w:r>
          </w:p>
        </w:tc>
        <w:tc>
          <w:tcPr>
            <w:tcW w:type="dxa" w:w="2929"/>
            <w:shd w:val="clear" w:color="auto" w:fill="1f3864"/>
            <w:vAlign w:val="center"/>
          </w:tcPr>
          <w:p>
            <w:pPr>
              <w:spacing w:after="40" w:before="40"/>
              <w:jc w:val="center"/>
            </w:pPr>
            <w:r>
              <w:rPr>
                <w:b/>
                <w:color w:val="FFFFFF"/>
                <w:sz w:val="19"/>
              </w:rPr>
              <w:t>Uloga u proveri hipoteze</w:t>
            </w:r>
          </w:p>
        </w:tc>
      </w:tr>
      <w:tr>
        <w:tc>
          <w:tcPr>
            <w:tcW w:type="dxa" w:w="2929"/>
            <w:vAlign w:val="center"/>
          </w:tcPr>
          <w:p>
            <w:pPr>
              <w:spacing w:after="20" w:before="20"/>
            </w:pPr>
            <w:r>
              <w:rPr>
                <w:b/>
                <w:sz w:val="19"/>
              </w:rPr>
              <w:t>Memorijski trošak (heap)</w:t>
            </w:r>
          </w:p>
        </w:tc>
        <w:tc>
          <w:tcPr>
            <w:tcW w:type="dxa" w:w="2929"/>
            <w:vAlign w:val="center"/>
          </w:tcPr>
          <w:p>
            <w:pPr>
              <w:spacing w:after="20" w:before="20"/>
            </w:pPr>
            <w:r>
              <w:rPr>
                <w:sz w:val="19"/>
              </w:rPr>
              <w:t>Zadržani slobodni RAM koji TLS oduzima (razlika pre-start i connected faze)</w:t>
            </w:r>
          </w:p>
        </w:tc>
        <w:tc>
          <w:tcPr>
            <w:tcW w:type="dxa" w:w="2929"/>
            <w:vAlign w:val="center"/>
          </w:tcPr>
          <w:p>
            <w:pPr>
              <w:spacing w:after="20" w:before="20"/>
            </w:pPr>
            <w:r>
              <w:rPr>
                <w:sz w:val="19"/>
              </w:rPr>
              <w:t>Statički trošak enkripcije na uređaju ograničene memorije</w:t>
            </w:r>
          </w:p>
        </w:tc>
      </w:tr>
      <w:tr>
        <w:tc>
          <w:tcPr>
            <w:tcW w:type="dxa" w:w="2929"/>
            <w:vAlign w:val="center"/>
          </w:tcPr>
          <w:p>
            <w:pPr>
              <w:spacing w:after="20" w:before="20"/>
            </w:pPr>
            <w:r>
              <w:rPr>
                <w:b/>
                <w:sz w:val="19"/>
              </w:rPr>
              <w:t>Vreme handshake-a</w:t>
            </w:r>
          </w:p>
        </w:tc>
        <w:tc>
          <w:tcPr>
            <w:tcW w:type="dxa" w:w="2929"/>
            <w:vAlign w:val="center"/>
          </w:tcPr>
          <w:p>
            <w:pPr>
              <w:spacing w:after="20" w:before="20"/>
            </w:pPr>
            <w:r>
              <w:rPr>
                <w:sz w:val="19"/>
              </w:rPr>
              <w:t>Trajanje uspostavljanja veze (TCP + TLS handshake + CONNECT/CONNACK)</w:t>
            </w:r>
          </w:p>
        </w:tc>
        <w:tc>
          <w:tcPr>
            <w:tcW w:type="dxa" w:w="2929"/>
            <w:vAlign w:val="center"/>
          </w:tcPr>
          <w:p>
            <w:pPr>
              <w:spacing w:after="20" w:before="20"/>
            </w:pPr>
            <w:r>
              <w:rPr>
                <w:sz w:val="19"/>
              </w:rPr>
              <w:t>Jednokratni trošak po (ponovnom) povezivanju</w:t>
            </w:r>
          </w:p>
        </w:tc>
      </w:tr>
      <w:tr>
        <w:tc>
          <w:tcPr>
            <w:tcW w:type="dxa" w:w="2929"/>
            <w:vAlign w:val="center"/>
          </w:tcPr>
          <w:p>
            <w:pPr>
              <w:spacing w:after="20" w:before="20"/>
            </w:pPr>
            <w:r>
              <w:rPr>
                <w:b/>
                <w:sz w:val="19"/>
              </w:rPr>
              <w:t>Mrežni overhead i dokaz enkripcije</w:t>
            </w:r>
          </w:p>
        </w:tc>
        <w:tc>
          <w:tcPr>
            <w:tcW w:type="dxa" w:w="2929"/>
            <w:vAlign w:val="center"/>
          </w:tcPr>
          <w:p>
            <w:pPr>
              <w:spacing w:after="20" w:before="20"/>
            </w:pPr>
            <w:r>
              <w:rPr>
                <w:sz w:val="19"/>
              </w:rPr>
              <w:t>Veličina PUBLISH poruke na žici i čitljivost saobraćaja</w:t>
            </w:r>
          </w:p>
        </w:tc>
        <w:tc>
          <w:tcPr>
            <w:tcW w:type="dxa" w:w="2929"/>
            <w:vAlign w:val="center"/>
          </w:tcPr>
          <w:p>
            <w:pPr>
              <w:spacing w:after="20" w:before="20"/>
            </w:pPr>
            <w:r>
              <w:rPr>
                <w:sz w:val="19"/>
              </w:rPr>
              <w:t>Trošak po poruci i istovremeni bezbednosni dobitak</w:t>
            </w:r>
          </w:p>
        </w:tc>
      </w:tr>
      <w:tr>
        <w:tc>
          <w:tcPr>
            <w:tcW w:type="dxa" w:w="2929"/>
            <w:vAlign w:val="center"/>
          </w:tcPr>
          <w:p>
            <w:pPr>
              <w:spacing w:after="20" w:before="20"/>
            </w:pPr>
            <w:r>
              <w:rPr>
                <w:b/>
                <w:sz w:val="19"/>
              </w:rPr>
              <w:t>End-to-end command RTT</w:t>
            </w:r>
          </w:p>
        </w:tc>
        <w:tc>
          <w:tcPr>
            <w:tcW w:type="dxa" w:w="2929"/>
            <w:vAlign w:val="center"/>
          </w:tcPr>
          <w:p>
            <w:pPr>
              <w:spacing w:after="20" w:before="20"/>
            </w:pPr>
            <w:r>
              <w:rPr>
                <w:sz w:val="19"/>
              </w:rPr>
              <w:t>Vreme od komande (set) do eho-potvrde stanja (state)</w:t>
            </w:r>
          </w:p>
        </w:tc>
        <w:tc>
          <w:tcPr>
            <w:tcW w:type="dxa" w:w="2929"/>
            <w:vAlign w:val="center"/>
          </w:tcPr>
          <w:p>
            <w:pPr>
              <w:spacing w:after="20" w:before="20"/>
            </w:pPr>
            <w:r>
              <w:rPr>
                <w:sz w:val="19"/>
              </w:rPr>
              <w:t>Direktan test hipotezne granice odziva &lt; 200 ms</w:t>
            </w:r>
          </w:p>
        </w:tc>
      </w:tr>
      <w:tr>
        <w:tc>
          <w:tcPr>
            <w:tcW w:type="dxa" w:w="2929"/>
            <w:vAlign w:val="center"/>
          </w:tcPr>
          <w:p>
            <w:pPr>
              <w:spacing w:after="20" w:before="20"/>
            </w:pPr>
            <w:r>
              <w:rPr>
                <w:b/>
                <w:sz w:val="19"/>
              </w:rPr>
              <w:t>CPU i dijagnostika</w:t>
            </w:r>
          </w:p>
        </w:tc>
        <w:tc>
          <w:tcPr>
            <w:tcW w:type="dxa" w:w="2929"/>
            <w:vAlign w:val="center"/>
          </w:tcPr>
          <w:p>
            <w:pPr>
              <w:spacing w:after="20" w:before="20"/>
            </w:pPr>
            <w:r>
              <w:rPr>
                <w:sz w:val="19"/>
              </w:rPr>
              <w:t>Iskorišćenost procesora po jezgru, plus heap/RSSI/task statistika</w:t>
            </w:r>
          </w:p>
        </w:tc>
        <w:tc>
          <w:tcPr>
            <w:tcW w:type="dxa" w:w="2929"/>
            <w:vAlign w:val="center"/>
          </w:tcPr>
          <w:p>
            <w:pPr>
              <w:spacing w:after="20" w:before="20"/>
            </w:pPr>
            <w:r>
              <w:rPr>
                <w:sz w:val="19"/>
              </w:rPr>
              <w:t>Trošak obrade i preostala rezerva sistema</w:t>
            </w:r>
          </w:p>
        </w:tc>
      </w:tr>
    </w:tbl>
    <w:p>
      <w:r>
        <w:t xml:space="preserve">Prva dimenzija posmatra memoriju kao najoskudniji resurs mikrokontrolera: meri se koliko slobodnog heap-a </w:t>
      </w:r>
      <w:r>
        <w:rPr>
          <w:i/>
        </w:rPr>
        <w:t>TLS</w:t>
      </w:r>
      <w:r>
        <w:t xml:space="preserve"> trajno zauzme, uz uporednu proveru fragmentacije preko najvećeg slobodnog bloka. Druga dimenzija izoluje trajanje uspostavljanja veze, koje na </w:t>
      </w:r>
      <w:r>
        <w:rPr>
          <w:i/>
        </w:rPr>
        <w:t>ESP32</w:t>
      </w:r>
      <w:r>
        <w:t xml:space="preserve"> dominantno određuju razmena ključeva i verifikacija serverskog sertifikata. Treća dimenzija spaja dva cilja — kvantifikaciju uvećanja veličine poruke na žici i bezbednosni dokaz, jer se ista snimka saobraćaja koristi i za merenje overhead-a i za demonstraciju čitljivosti (odnosno nečitljivosti) sadržaja. Četvrta dimenzija je noseća za hipotezu: meri stvarni odziv sistema od komande do potvrde. Peta dimenzija dovršava sliku uvidom u iskorišćenost procesora i zdravlje zadataka tokom povezivanja, u mirovanju i pod opterećenjem.</w:t>
      </w:r>
    </w:p>
    <w:p>
      <w:pPr>
        <w:pStyle w:val="Heading2"/>
        <w:keepNext/>
      </w:pPr>
      <w:r>
        <w:t>Eksperimentalna postavka</w:t>
      </w:r>
    </w:p>
    <w:p>
      <w:r>
        <w:t xml:space="preserve">Merenja su izvedena na živom hardveru, u potpuno lokalnoj mreži bez oslanjanja na spoljne (cloud) servise, kako bi se uklonili činioci van kontrole mernog postupka i obezbedila ponovljivost. Postavku čine dva </w:t>
      </w:r>
      <w:r>
        <w:rPr>
          <w:i/>
        </w:rPr>
        <w:t>ESP32</w:t>
      </w:r>
      <w:r>
        <w:t xml:space="preserve"> čvora i </w:t>
      </w:r>
      <w:r>
        <w:rPr>
          <w:i/>
        </w:rPr>
        <w:t>Raspberry Pi</w:t>
      </w:r>
      <w:r>
        <w:t xml:space="preserve"> koji istovremeno ugošćuje broker poruka i kontroler pametne kuće.</w:t>
      </w:r>
    </w:p>
    <w:p>
      <w:pPr>
        <w:pStyle w:val="Heading3"/>
        <w:keepNext/>
      </w:pPr>
      <w:r>
        <w:t>Hardverski čvorovi i broker</w:t>
      </w:r>
    </w:p>
    <w:p>
      <w:r>
        <w:t xml:space="preserve">Referentni čvor </w:t>
      </w:r>
      <w:r>
        <w:rPr>
          <w:rFonts w:ascii="Consolas" w:hAnsi="Consolas"/>
          <w:sz w:val="21"/>
        </w:rPr>
        <w:t>esp1_lights</w:t>
      </w:r>
      <w:r>
        <w:t xml:space="preserve"> izgrađen je na modulu </w:t>
      </w:r>
      <w:r>
        <w:rPr>
          <w:i/>
        </w:rPr>
        <w:t>ESP32-D0WDQ6</w:t>
      </w:r>
      <w:r>
        <w:t xml:space="preserve"> (WROOM), sa </w:t>
      </w:r>
      <w:r>
        <w:rPr>
          <w:i/>
        </w:rPr>
        <w:t>CP2102</w:t>
      </w:r>
      <w:r>
        <w:t xml:space="preserve"> (Silicon Labs) USB-serijskim mostom, i predstavlja baseline: komunicira običnim </w:t>
      </w:r>
      <w:r>
        <w:rPr>
          <w:i/>
        </w:rPr>
        <w:t>MQTT</w:t>
      </w:r>
      <w:r>
        <w:t xml:space="preserve">-om na portu 1883 i upravlja sa četiri releja za svetla. Čvor </w:t>
      </w:r>
      <w:r>
        <w:rPr>
          <w:rFonts w:ascii="Consolas" w:hAnsi="Consolas"/>
          <w:sz w:val="21"/>
        </w:rPr>
        <w:t>esp2_temperature</w:t>
      </w:r>
      <w:r>
        <w:t xml:space="preserve">, koji je predmet analize, izgrađen je na razvojnoj ploči </w:t>
      </w:r>
      <w:r>
        <w:rPr>
          <w:i/>
        </w:rPr>
        <w:t>ESP-WROVER-KIT V4.1</w:t>
      </w:r>
      <w:r>
        <w:t xml:space="preserve"> (modul </w:t>
      </w:r>
      <w:r>
        <w:rPr>
          <w:i/>
        </w:rPr>
        <w:t>ESP32-D0WD</w:t>
      </w:r>
      <w:r>
        <w:t xml:space="preserve"> sa dodatnom PSRAM memorijom), sa dvokanalnim </w:t>
      </w:r>
      <w:r>
        <w:rPr>
          <w:i/>
        </w:rPr>
        <w:t>FT2232</w:t>
      </w:r>
      <w:r>
        <w:t xml:space="preserve"> USB mostom i ugrađenim </w:t>
      </w:r>
      <w:r>
        <w:rPr>
          <w:i/>
        </w:rPr>
        <w:t>ILI9341</w:t>
      </w:r>
      <w:r>
        <w:t xml:space="preserve"> LCD ekranom rezolucije 320×240; on objavljuje četiri simulirane temperature po modelu nasumičnog hoda i komunicira preko </w:t>
      </w:r>
      <w:r>
        <w:rPr>
          <w:i/>
        </w:rPr>
        <w:t>MQTTS</w:t>
      </w:r>
      <w:r>
        <w:t xml:space="preserve">-a na portu 8883. Broker i kontroler rade na </w:t>
      </w:r>
      <w:r>
        <w:rPr>
          <w:i/>
        </w:rPr>
        <w:t>Raspberry Pi 4 Model B</w:t>
      </w:r>
      <w:r>
        <w:t xml:space="preserve"> (hostname </w:t>
      </w:r>
      <w:r>
        <w:rPr>
          <w:rFonts w:ascii="Consolas" w:hAnsi="Consolas"/>
          <w:sz w:val="21"/>
        </w:rPr>
        <w:t>pihome</w:t>
      </w:r>
      <w:r>
        <w:t>), koji na lokalnoj mreži ima adresu 192.168.0.10.</w:t>
      </w:r>
    </w:p>
    <w:p>
      <w:r>
        <w:t xml:space="preserve">Treba napomenuti jedno odstupanje od prvobitnog plana koje ne utiče na merni deo. U izvedenoj verziji čvor esp2 ne koristi fizički </w:t>
      </w:r>
      <w:r>
        <w:rPr>
          <w:i/>
        </w:rPr>
        <w:t>DHT22</w:t>
      </w:r>
      <w:r>
        <w:t xml:space="preserve"> senzor sa grejačem, već četiri simulirana senzora sa prikazom na ugrađenom LCD-u, pošto je </w:t>
      </w:r>
      <w:r>
        <w:rPr>
          <w:i/>
        </w:rPr>
        <w:t>GPIO</w:t>
      </w:r>
      <w:r>
        <w:t xml:space="preserve"> prvobitno predviđen za grejač na ploči </w:t>
      </w:r>
      <w:r>
        <w:rPr>
          <w:i/>
        </w:rPr>
        <w:t>WROVER-KIT</w:t>
      </w:r>
      <w:r>
        <w:t xml:space="preserve"> zauzet signalom ekrana. Ova izmena ne dodiruje merni kod, koji živi u deljenoj komponenti i identičan je na oba čvora; jedina praktična posledica tiče se merenja odziva, gde je za </w:t>
      </w:r>
      <w:r>
        <w:rPr>
          <w:i/>
        </w:rPr>
        <w:t>TLS</w:t>
      </w:r>
      <w:r>
        <w:t xml:space="preserve"> kanal korišćen klijent na portu 8883 prema istom uređaju.</w:t>
      </w:r>
    </w:p>
    <w:p>
      <w:pPr>
        <w:pStyle w:val="Heading3"/>
        <w:keepNext/>
      </w:pPr>
      <w:r>
        <w:t>Softver i verzije</w:t>
      </w:r>
    </w:p>
    <w:p>
      <w:r>
        <w:t xml:space="preserve">Radi pune reproduktivnosti, sve komponente steka zaključane su na konkretne verzije. Firmver je pisan u čistom jeziku C nad okvirom </w:t>
      </w:r>
      <w:r>
        <w:rPr>
          <w:i/>
        </w:rPr>
        <w:t>ESP-IDF</w:t>
      </w:r>
      <w:r>
        <w:t xml:space="preserve">, a prevođen, flešovan i nadziran kroz </w:t>
      </w:r>
      <w:r>
        <w:rPr>
          <w:i/>
        </w:rPr>
        <w:t>PlatformIO</w:t>
      </w:r>
      <w:r>
        <w:t>. Verzije korišćene tokom merenja date su u narednoj tabeli.</w:t>
      </w:r>
    </w:p>
    <w:p>
      <w:pPr>
        <w:spacing w:before="80" w:after="80"/>
        <w:jc w:val="left"/>
        <w:keepNext/>
      </w:pPr>
      <w:r>
        <w:rPr>
          <w:b/>
          <w:i/>
          <w:sz w:val="19"/>
        </w:rPr>
        <w:t xml:space="preserve">Tabela 11. </w:t>
      </w:r>
      <w:r>
        <w:rPr>
          <w:i/>
          <w:sz w:val="19"/>
        </w:rPr>
        <w:t>Komponente i verzije korišćene tokom merenja</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Komponenta</w:t>
            </w:r>
          </w:p>
        </w:tc>
        <w:tc>
          <w:tcPr>
            <w:tcW w:type="dxa" w:w="2929"/>
            <w:shd w:val="clear" w:color="auto" w:fill="1f3864"/>
            <w:vAlign w:val="center"/>
          </w:tcPr>
          <w:p>
            <w:pPr>
              <w:spacing w:after="40" w:before="40"/>
              <w:jc w:val="center"/>
            </w:pPr>
            <w:r>
              <w:rPr>
                <w:b/>
                <w:color w:val="FFFFFF"/>
                <w:sz w:val="19"/>
              </w:rPr>
              <w:t>Verzija</w:t>
            </w:r>
          </w:p>
        </w:tc>
        <w:tc>
          <w:tcPr>
            <w:tcW w:type="dxa" w:w="2929"/>
            <w:shd w:val="clear" w:color="auto" w:fill="1f3864"/>
            <w:vAlign w:val="center"/>
          </w:tcPr>
          <w:p>
            <w:pPr>
              <w:spacing w:after="40" w:before="40"/>
              <w:jc w:val="center"/>
            </w:pPr>
            <w:r>
              <w:rPr>
                <w:b/>
                <w:color w:val="FFFFFF"/>
                <w:sz w:val="19"/>
              </w:rPr>
              <w:t>Uloga</w:t>
            </w:r>
          </w:p>
        </w:tc>
      </w:tr>
      <w:tr>
        <w:tc>
          <w:tcPr>
            <w:tcW w:type="dxa" w:w="2929"/>
            <w:vAlign w:val="center"/>
          </w:tcPr>
          <w:p>
            <w:pPr>
              <w:spacing w:after="20" w:before="20"/>
            </w:pPr>
            <w:r>
              <w:rPr>
                <w:b/>
                <w:sz w:val="19"/>
              </w:rPr>
              <w:t>ESP-IDF</w:t>
            </w:r>
          </w:p>
        </w:tc>
        <w:tc>
          <w:tcPr>
            <w:tcW w:type="dxa" w:w="2929"/>
            <w:vAlign w:val="center"/>
          </w:tcPr>
          <w:p>
            <w:pPr>
              <w:spacing w:after="20" w:before="20"/>
            </w:pPr>
            <w:r>
              <w:rPr>
                <w:sz w:val="19"/>
              </w:rPr>
              <w:t>5.5.0</w:t>
            </w:r>
          </w:p>
        </w:tc>
        <w:tc>
          <w:tcPr>
            <w:tcW w:type="dxa" w:w="2929"/>
            <w:vAlign w:val="center"/>
          </w:tcPr>
          <w:p>
            <w:pPr>
              <w:spacing w:after="20" w:before="20"/>
            </w:pPr>
            <w:r>
              <w:rPr>
                <w:sz w:val="19"/>
              </w:rPr>
              <w:t>Okvir firmvera (čist C); mbedTLS ukompajliran u build</w:t>
            </w:r>
          </w:p>
        </w:tc>
      </w:tr>
      <w:tr>
        <w:tc>
          <w:tcPr>
            <w:tcW w:type="dxa" w:w="2929"/>
            <w:vAlign w:val="center"/>
          </w:tcPr>
          <w:p>
            <w:pPr>
              <w:spacing w:after="20" w:before="20"/>
            </w:pPr>
            <w:r>
              <w:rPr>
                <w:b/>
                <w:sz w:val="19"/>
              </w:rPr>
              <w:t>PlatformIO Core</w:t>
            </w:r>
          </w:p>
        </w:tc>
        <w:tc>
          <w:tcPr>
            <w:tcW w:type="dxa" w:w="2929"/>
            <w:vAlign w:val="center"/>
          </w:tcPr>
          <w:p>
            <w:pPr>
              <w:spacing w:after="20" w:before="20"/>
            </w:pPr>
            <w:r>
              <w:rPr>
                <w:sz w:val="19"/>
              </w:rPr>
              <w:t>6.1.19</w:t>
            </w:r>
          </w:p>
        </w:tc>
        <w:tc>
          <w:tcPr>
            <w:tcW w:type="dxa" w:w="2929"/>
            <w:vAlign w:val="center"/>
          </w:tcPr>
          <w:p>
            <w:pPr>
              <w:spacing w:after="20" w:before="20"/>
            </w:pPr>
            <w:r>
              <w:rPr>
                <w:sz w:val="19"/>
              </w:rPr>
              <w:t>Prevođenje, flešovanje i nadzor; izbor aktivne ploče</w:t>
            </w:r>
          </w:p>
        </w:tc>
      </w:tr>
      <w:tr>
        <w:tc>
          <w:tcPr>
            <w:tcW w:type="dxa" w:w="2929"/>
            <w:vAlign w:val="center"/>
          </w:tcPr>
          <w:p>
            <w:pPr>
              <w:spacing w:after="20" w:before="20"/>
            </w:pPr>
            <w:r>
              <w:rPr>
                <w:b/>
                <w:sz w:val="19"/>
              </w:rPr>
              <w:t>Firmver</w:t>
            </w:r>
          </w:p>
        </w:tc>
        <w:tc>
          <w:tcPr>
            <w:tcW w:type="dxa" w:w="2929"/>
            <w:vAlign w:val="center"/>
          </w:tcPr>
          <w:p>
            <w:pPr>
              <w:spacing w:after="20" w:before="20"/>
            </w:pPr>
            <w:r>
              <w:rPr>
                <w:sz w:val="19"/>
              </w:rPr>
              <w:t>v3.0.0</w:t>
            </w:r>
          </w:p>
        </w:tc>
        <w:tc>
          <w:tcPr>
            <w:tcW w:type="dxa" w:w="2929"/>
            <w:vAlign w:val="center"/>
          </w:tcPr>
          <w:p>
            <w:pPr>
              <w:spacing w:after="20" w:before="20"/>
            </w:pPr>
            <w:r>
              <w:rPr>
                <w:sz w:val="19"/>
              </w:rPr>
              <w:t>Ista verzija na oba čvora; uključuje diag modul za CPU</w:t>
            </w:r>
          </w:p>
        </w:tc>
      </w:tr>
      <w:tr>
        <w:tc>
          <w:tcPr>
            <w:tcW w:type="dxa" w:w="2929"/>
            <w:vAlign w:val="center"/>
          </w:tcPr>
          <w:p>
            <w:pPr>
              <w:spacing w:after="20" w:before="20"/>
            </w:pPr>
            <w:r>
              <w:rPr>
                <w:b/>
                <w:sz w:val="19"/>
              </w:rPr>
              <w:t>Eclipse Mosquitto</w:t>
            </w:r>
          </w:p>
        </w:tc>
        <w:tc>
          <w:tcPr>
            <w:tcW w:type="dxa" w:w="2929"/>
            <w:vAlign w:val="center"/>
          </w:tcPr>
          <w:p>
            <w:pPr>
              <w:spacing w:after="20" w:before="20"/>
            </w:pPr>
            <w:r>
              <w:rPr>
                <w:sz w:val="19"/>
              </w:rPr>
              <w:t>2.1.2</w:t>
            </w:r>
          </w:p>
        </w:tc>
        <w:tc>
          <w:tcPr>
            <w:tcW w:type="dxa" w:w="2929"/>
            <w:vAlign w:val="center"/>
          </w:tcPr>
          <w:p>
            <w:pPr>
              <w:spacing w:after="20" w:before="20"/>
            </w:pPr>
            <w:r>
              <w:rPr>
                <w:sz w:val="19"/>
              </w:rPr>
              <w:t>MQTT broker (HA dodatak „Mosquitto broker" 7.1.0)</w:t>
            </w:r>
          </w:p>
        </w:tc>
      </w:tr>
      <w:tr>
        <w:tc>
          <w:tcPr>
            <w:tcW w:type="dxa" w:w="2929"/>
            <w:vAlign w:val="center"/>
          </w:tcPr>
          <w:p>
            <w:pPr>
              <w:spacing w:after="20" w:before="20"/>
            </w:pPr>
            <w:r>
              <w:rPr>
                <w:b/>
                <w:sz w:val="19"/>
              </w:rPr>
              <w:t>Home Assistant (jezgro)</w:t>
            </w:r>
          </w:p>
        </w:tc>
        <w:tc>
          <w:tcPr>
            <w:tcW w:type="dxa" w:w="2929"/>
            <w:vAlign w:val="center"/>
          </w:tcPr>
          <w:p>
            <w:pPr>
              <w:spacing w:after="20" w:before="20"/>
            </w:pPr>
            <w:r>
              <w:rPr>
                <w:sz w:val="19"/>
              </w:rPr>
              <w:t>2026.7.4</w:t>
            </w:r>
          </w:p>
        </w:tc>
        <w:tc>
          <w:tcPr>
            <w:tcW w:type="dxa" w:w="2929"/>
            <w:vAlign w:val="center"/>
          </w:tcPr>
          <w:p>
            <w:pPr>
              <w:spacing w:after="20" w:before="20"/>
            </w:pPr>
            <w:r>
              <w:rPr>
                <w:sz w:val="19"/>
              </w:rPr>
              <w:t>Kontroler; entiteti preko MQTT Discovery</w:t>
            </w:r>
          </w:p>
        </w:tc>
      </w:tr>
      <w:tr>
        <w:tc>
          <w:tcPr>
            <w:tcW w:type="dxa" w:w="2929"/>
            <w:vAlign w:val="center"/>
          </w:tcPr>
          <w:p>
            <w:pPr>
              <w:spacing w:after="20" w:before="20"/>
            </w:pPr>
            <w:r>
              <w:rPr>
                <w:b/>
                <w:sz w:val="19"/>
              </w:rPr>
              <w:t>Home Assistant OS</w:t>
            </w:r>
          </w:p>
        </w:tc>
        <w:tc>
          <w:tcPr>
            <w:tcW w:type="dxa" w:w="2929"/>
            <w:vAlign w:val="center"/>
          </w:tcPr>
          <w:p>
            <w:pPr>
              <w:spacing w:after="20" w:before="20"/>
            </w:pPr>
            <w:r>
              <w:rPr>
                <w:sz w:val="19"/>
              </w:rPr>
              <w:t>18.2</w:t>
            </w:r>
          </w:p>
        </w:tc>
        <w:tc>
          <w:tcPr>
            <w:tcW w:type="dxa" w:w="2929"/>
            <w:vAlign w:val="center"/>
          </w:tcPr>
          <w:p>
            <w:pPr>
              <w:spacing w:after="20" w:before="20"/>
            </w:pPr>
            <w:r>
              <w:rPr>
                <w:sz w:val="19"/>
              </w:rPr>
              <w:t>Operativni sistem na Raspberry Pi 4B</w:t>
            </w:r>
          </w:p>
        </w:tc>
      </w:tr>
      <w:tr>
        <w:tc>
          <w:tcPr>
            <w:tcW w:type="dxa" w:w="2929"/>
            <w:vAlign w:val="center"/>
          </w:tcPr>
          <w:p>
            <w:pPr>
              <w:spacing w:after="20" w:before="20"/>
            </w:pPr>
            <w:r>
              <w:rPr>
                <w:b/>
                <w:sz w:val="19"/>
              </w:rPr>
              <w:t>mbedTLS</w:t>
            </w:r>
          </w:p>
        </w:tc>
        <w:tc>
          <w:tcPr>
            <w:tcW w:type="dxa" w:w="2929"/>
            <w:vAlign w:val="center"/>
          </w:tcPr>
          <w:p>
            <w:pPr>
              <w:spacing w:after="20" w:before="20"/>
            </w:pPr>
            <w:r>
              <w:rPr>
                <w:sz w:val="19"/>
              </w:rPr>
              <w:t>iz ESP-IDF 5.5</w:t>
            </w:r>
          </w:p>
        </w:tc>
        <w:tc>
          <w:tcPr>
            <w:tcW w:type="dxa" w:w="2929"/>
            <w:vAlign w:val="center"/>
          </w:tcPr>
          <w:p>
            <w:pPr>
              <w:spacing w:after="20" w:before="20"/>
            </w:pPr>
            <w:r>
              <w:rPr>
                <w:sz w:val="19"/>
              </w:rPr>
              <w:t>TLS 1.2 stek na uređaju; hardversko AES/SHA ubrzanje</w:t>
            </w:r>
          </w:p>
        </w:tc>
      </w:tr>
      <w:tr>
        <w:tc>
          <w:tcPr>
            <w:tcW w:type="dxa" w:w="2929"/>
            <w:vAlign w:val="center"/>
          </w:tcPr>
          <w:p>
            <w:pPr>
              <w:spacing w:after="20" w:before="20"/>
            </w:pPr>
            <w:r>
              <w:rPr>
                <w:b/>
                <w:sz w:val="19"/>
              </w:rPr>
              <w:t>Python paho-mqtt</w:t>
            </w:r>
          </w:p>
        </w:tc>
        <w:tc>
          <w:tcPr>
            <w:tcW w:type="dxa" w:w="2929"/>
            <w:vAlign w:val="center"/>
          </w:tcPr>
          <w:p>
            <w:pPr>
              <w:spacing w:after="20" w:before="20"/>
            </w:pPr>
            <w:r>
              <w:rPr>
                <w:sz w:val="19"/>
              </w:rPr>
              <w:t>2.7.0</w:t>
            </w:r>
          </w:p>
        </w:tc>
        <w:tc>
          <w:tcPr>
            <w:tcW w:type="dxa" w:w="2929"/>
            <w:vAlign w:val="center"/>
          </w:tcPr>
          <w:p>
            <w:pPr>
              <w:spacing w:after="20" w:before="20"/>
            </w:pPr>
            <w:r>
              <w:rPr>
                <w:sz w:val="19"/>
              </w:rPr>
              <w:t>Merni MQTT klijent (rtt.py, m3_driver.py)</w:t>
            </w:r>
          </w:p>
        </w:tc>
      </w:tr>
      <w:tr>
        <w:tc>
          <w:tcPr>
            <w:tcW w:type="dxa" w:w="2929"/>
            <w:vAlign w:val="center"/>
          </w:tcPr>
          <w:p>
            <w:pPr>
              <w:spacing w:after="20" w:before="20"/>
            </w:pPr>
            <w:r>
              <w:rPr>
                <w:b/>
                <w:sz w:val="19"/>
              </w:rPr>
              <w:t>Python scapy</w:t>
            </w:r>
          </w:p>
        </w:tc>
        <w:tc>
          <w:tcPr>
            <w:tcW w:type="dxa" w:w="2929"/>
            <w:vAlign w:val="center"/>
          </w:tcPr>
          <w:p>
            <w:pPr>
              <w:spacing w:after="20" w:before="20"/>
            </w:pPr>
            <w:r>
              <w:rPr>
                <w:sz w:val="19"/>
              </w:rPr>
              <w:t>2.7.0</w:t>
            </w:r>
          </w:p>
        </w:tc>
        <w:tc>
          <w:tcPr>
            <w:tcW w:type="dxa" w:w="2929"/>
            <w:vAlign w:val="center"/>
          </w:tcPr>
          <w:p>
            <w:pPr>
              <w:spacing w:after="20" w:before="20"/>
            </w:pPr>
            <w:r>
              <w:rPr>
                <w:sz w:val="19"/>
              </w:rPr>
              <w:t>Analiza pcap snimka (pcap_analyze.py)</w:t>
            </w:r>
          </w:p>
        </w:tc>
      </w:tr>
      <w:tr>
        <w:tc>
          <w:tcPr>
            <w:tcW w:type="dxa" w:w="2929"/>
            <w:vAlign w:val="center"/>
          </w:tcPr>
          <w:p>
            <w:pPr>
              <w:spacing w:after="20" w:before="20"/>
            </w:pPr>
            <w:r>
              <w:rPr>
                <w:b/>
                <w:sz w:val="19"/>
              </w:rPr>
              <w:t>tcpdump</w:t>
            </w:r>
          </w:p>
        </w:tc>
        <w:tc>
          <w:tcPr>
            <w:tcW w:type="dxa" w:w="2929"/>
            <w:vAlign w:val="center"/>
          </w:tcPr>
          <w:p>
            <w:pPr>
              <w:spacing w:after="20" w:before="20"/>
            </w:pPr>
            <w:r>
              <w:rPr>
                <w:sz w:val="19"/>
              </w:rPr>
              <w:t>4.99.6</w:t>
            </w:r>
          </w:p>
        </w:tc>
        <w:tc>
          <w:tcPr>
            <w:tcW w:type="dxa" w:w="2929"/>
            <w:vAlign w:val="center"/>
          </w:tcPr>
          <w:p>
            <w:pPr>
              <w:spacing w:after="20" w:before="20"/>
            </w:pPr>
            <w:r>
              <w:rPr>
                <w:sz w:val="19"/>
              </w:rPr>
              <w:t>Snimanje saobraćaja na hostu brokera</w:t>
            </w:r>
          </w:p>
        </w:tc>
      </w:tr>
    </w:tbl>
    <w:p>
      <w:pPr>
        <w:pStyle w:val="Heading3"/>
        <w:keepNext/>
      </w:pPr>
      <w:r>
        <w:t>Mreža, broker i TLS sloj</w:t>
      </w:r>
    </w:p>
    <w:p>
      <w:r>
        <w:t xml:space="preserve">Svi učesnici nalaze se na istoj lokalnoj Wi-Fi mreži; merenja su vođena kao </w:t>
      </w:r>
      <w:r>
        <w:rPr>
          <w:i/>
        </w:rPr>
        <w:t>tiha LAN</w:t>
      </w:r>
      <w:r>
        <w:t xml:space="preserve">, bez namernog dodatnog saobraćaja, da bi se smanjila spoljna varijansa. Broker sluša istovremeno na dva </w:t>
      </w:r>
      <w:r>
        <w:rPr>
          <w:i/>
        </w:rPr>
        <w:t>MQTT</w:t>
      </w:r>
      <w:r>
        <w:t xml:space="preserve"> listenera: port 1883 za plain saobraćaj (esp1 i, preko loopback veze, sam Home Assistant) i port 8883 za </w:t>
      </w:r>
      <w:r>
        <w:rPr>
          <w:i/>
        </w:rPr>
        <w:t>TLS</w:t>
      </w:r>
      <w:r>
        <w:t xml:space="preserve"> (esp2). Autentifikacija je zajednička za oba porta, pa se korisničko ime i lozinka broker-klijenta poklapaju na obe strane; time se razlika između kanala svodi isključivo na prisustvo </w:t>
      </w:r>
      <w:r>
        <w:rPr>
          <w:i/>
        </w:rPr>
        <w:t>TLS</w:t>
      </w:r>
      <w:r>
        <w:t xml:space="preserve"> sloja.</w:t>
      </w:r>
    </w:p>
    <w:p>
      <w:r>
        <w:t xml:space="preserve">Bitno je razgraničiti dve različite </w:t>
      </w:r>
      <w:r>
        <w:rPr>
          <w:i/>
        </w:rPr>
        <w:t>TLS</w:t>
      </w:r>
      <w:r>
        <w:t xml:space="preserve"> sesije koje se mogu javiti prema istom brokeru. Iako broker prihvata i </w:t>
      </w:r>
      <w:r>
        <w:rPr>
          <w:i/>
        </w:rPr>
        <w:t>TLS 1.2</w:t>
      </w:r>
      <w:r>
        <w:t xml:space="preserve"> i </w:t>
      </w:r>
      <w:r>
        <w:rPr>
          <w:i/>
        </w:rPr>
        <w:t>TLS 1.3</w:t>
      </w:r>
      <w:r>
        <w:t>, uređaj (</w:t>
      </w:r>
      <w:r>
        <w:rPr>
          <w:i/>
        </w:rPr>
        <w:t>ESP32</w:t>
      </w:r>
      <w:r>
        <w:t xml:space="preserve">/mbedTLS) uvek pregovara </w:t>
      </w:r>
      <w:r>
        <w:rPr>
          <w:i/>
        </w:rPr>
        <w:t>TLS 1.2</w:t>
      </w:r>
      <w:r>
        <w:t xml:space="preserve">, jer je u build konfiguraciji uključen samo taj protokol. Svi brojevi u radu koji se tiču uređaja odnose se, dakle, na </w:t>
      </w:r>
      <w:r>
        <w:rPr>
          <w:i/>
        </w:rPr>
        <w:t>TLS 1.2</w:t>
      </w:r>
      <w:r>
        <w:t xml:space="preserve">; sesija računara sa brokerom (koja može biti </w:t>
      </w:r>
      <w:r>
        <w:rPr>
          <w:i/>
        </w:rPr>
        <w:t>TLS 1.3</w:t>
      </w:r>
      <w:r>
        <w:t>) nije predmet analize.</w:t>
      </w:r>
    </w:p>
    <w:p>
      <w:pPr>
        <w:pStyle w:val="Heading4"/>
        <w:keepNext/>
      </w:pPr>
      <w:r>
        <w:t>TLS konfiguracija i puna verifikacija</w:t>
      </w:r>
    </w:p>
    <w:p>
      <w:r>
        <w:t>Lokalna infrastruktura javnih ključeva (</w:t>
      </w:r>
      <w:r>
        <w:rPr>
          <w:i/>
        </w:rPr>
        <w:t>Public Key Infrastructure, PKI</w:t>
      </w:r>
      <w:r>
        <w:t xml:space="preserve">) sastoji se od sopstvenog izdavaoca sertifikata (CA, </w:t>
      </w:r>
      <w:r>
        <w:rPr>
          <w:rFonts w:ascii="Consolas" w:hAnsi="Consolas"/>
          <w:sz w:val="21"/>
        </w:rPr>
        <w:t>CN=HomeLab-CA</w:t>
      </w:r>
      <w:r>
        <w:t>, RSA-2048, SHA-256) i serverskog sertifikata (</w:t>
      </w:r>
      <w:r>
        <w:rPr>
          <w:rFonts w:ascii="Consolas" w:hAnsi="Consolas"/>
          <w:sz w:val="21"/>
        </w:rPr>
        <w:t>CN=pihome.local</w:t>
      </w:r>
      <w:r>
        <w:t xml:space="preserve">) čiji </w:t>
      </w:r>
      <w:r>
        <w:rPr>
          <w:i/>
        </w:rPr>
        <w:t>Subject Alternative Name (SAN)</w:t>
      </w:r>
      <w:r>
        <w:t xml:space="preserve"> sadrži i ime </w:t>
      </w:r>
      <w:r>
        <w:rPr>
          <w:rFonts w:ascii="Consolas" w:hAnsi="Consolas"/>
          <w:sz w:val="21"/>
        </w:rPr>
        <w:t>pihome.local</w:t>
      </w:r>
      <w:r>
        <w:t xml:space="preserve"> i adresu </w:t>
      </w:r>
      <w:r>
        <w:rPr>
          <w:rFonts w:ascii="Consolas" w:hAnsi="Consolas"/>
          <w:sz w:val="21"/>
        </w:rPr>
        <w:t>IP:192.168.0.10</w:t>
      </w:r>
      <w:r>
        <w:t xml:space="preserve">. Uređaj kači ugrađeni </w:t>
      </w:r>
      <w:r>
        <w:rPr>
          <w:rFonts w:ascii="Consolas" w:hAnsi="Consolas"/>
          <w:sz w:val="21"/>
        </w:rPr>
        <w:t>ca.crt</w:t>
      </w:r>
      <w:r>
        <w:t xml:space="preserve"> i verifikuje lanac i potpis servera protiv sopstvenog CA, čime je onemogućen napad tipa „čovek u sredini" bez privatnog ključa izdavaoca. Pregovoreni cipher paket na uređaju je </w:t>
      </w:r>
      <w:r>
        <w:rPr>
          <w:i/>
        </w:rPr>
        <w:t>`ECDHE-RSA-AES256-GCM-SHA384`</w:t>
      </w:r>
      <w:r>
        <w:t xml:space="preserve"> — efemerna </w:t>
      </w:r>
      <w:r>
        <w:rPr>
          <w:i/>
        </w:rPr>
        <w:t>ECDHE</w:t>
      </w:r>
      <w:r>
        <w:t xml:space="preserve"> razmena ključeva (forward secrecy), </w:t>
      </w:r>
      <w:r>
        <w:rPr>
          <w:i/>
        </w:rPr>
        <w:t>RSA</w:t>
      </w:r>
      <w:r>
        <w:t xml:space="preserve"> autentifikacija servera i simetrična šifra </w:t>
      </w:r>
      <w:r>
        <w:rPr>
          <w:i/>
        </w:rPr>
        <w:t>AES-256-GCM</w:t>
      </w:r>
      <w:r>
        <w:t xml:space="preserve"> sa 16-bajtnom oznakom autentičnosti — uz hardversko ubrzanje </w:t>
      </w:r>
      <w:r>
        <w:rPr>
          <w:i/>
        </w:rPr>
        <w:t>AES</w:t>
      </w:r>
      <w:r>
        <w:t>/</w:t>
      </w:r>
      <w:r>
        <w:rPr>
          <w:i/>
        </w:rPr>
        <w:t>SHA</w:t>
      </w:r>
      <w:r>
        <w:t xml:space="preserve"> na uređaju. Puna verifikacija identiteta potvrđena je nezavisno (</w:t>
      </w:r>
      <w:r>
        <w:rPr>
          <w:i/>
        </w:rPr>
        <w:t>Verify return code: 0</w:t>
      </w:r>
      <w:r>
        <w:t>), pošto je adresa upisana u polje SAN.</w:t>
      </w:r>
    </w:p>
    <w:p>
      <w:r>
        <w:t>Da bi memorijsko merenje bilo reproduktivno, parametri mbedTLS bafera su fiksirani i namerno statički. Ulazni sadržaj (</w:t>
      </w:r>
      <w:r>
        <w:rPr>
          <w:rFonts w:ascii="Consolas" w:hAnsi="Consolas"/>
          <w:sz w:val="21"/>
        </w:rPr>
        <w:t>CONFIG_MBEDTLS_SSL_IN_CONTENT_LEN</w:t>
      </w:r>
      <w:r>
        <w:t>) postavljen je na 16384 bajta, a izlazni (</w:t>
      </w:r>
      <w:r>
        <w:rPr>
          <w:rFonts w:ascii="Consolas" w:hAnsi="Consolas"/>
          <w:sz w:val="21"/>
        </w:rPr>
        <w:t>CONFIG_MBEDTLS_SSL_OUT_CONTENT_LEN</w:t>
      </w:r>
      <w:r>
        <w:t>) na 4096 bajta (asimetrična konfiguracija bafera), dok je dinamička alokacija bafera (</w:t>
      </w:r>
      <w:r>
        <w:rPr>
          <w:rFonts w:ascii="Consolas" w:hAnsi="Consolas"/>
          <w:sz w:val="21"/>
        </w:rPr>
        <w:t>CONFIG_MBEDTLS_DYNAMIC_BUFFER</w:t>
      </w:r>
      <w:r>
        <w:t>) isključena kako bi zauzeće heap-a bilo determinističko i uporedivo iz boot-a u boot. Ovi parametri neposredno određuju izmereni memorijski trošak, pa su navedeni kao deo eksperimentalne postavke.</w:t>
      </w:r>
    </w:p>
    <w:p>
      <w:pPr>
        <w:pStyle w:val="Heading2"/>
        <w:keepNext/>
      </w:pPr>
      <w:r>
        <w:t>Instrumentacija firmvera</w:t>
      </w:r>
    </w:p>
    <w:p>
      <w:r>
        <w:t xml:space="preserve">Sav merni kod smešten je u deljenu komponentu firmvera, u modul za </w:t>
      </w:r>
      <w:r>
        <w:rPr>
          <w:i/>
        </w:rPr>
        <w:t>MQTT</w:t>
      </w:r>
      <w:r>
        <w:t xml:space="preserve"> omotač, i kompajlira se </w:t>
      </w:r>
      <w:r>
        <w:rPr>
          <w:i/>
        </w:rPr>
        <w:t>bajt-identično</w:t>
      </w:r>
      <w:r>
        <w:t xml:space="preserve"> na oba čvora; jedina razlika je </w:t>
      </w:r>
      <w:r>
        <w:rPr>
          <w:i/>
        </w:rPr>
        <w:t>TLS</w:t>
      </w:r>
      <w:r>
        <w:t xml:space="preserve"> blok pod uslovnim prevođenjem, uključen samo za esp2. Time je zajemčeno da esp1 i esp2 mere na potpuno isti način, pa se razlika u rezultatima ne može pripisati različitom mernom kodu.</w:t>
      </w:r>
    </w:p>
    <w:p>
      <w:pPr>
        <w:pStyle w:val="Heading3"/>
        <w:keepNext/>
      </w:pPr>
      <w:r>
        <w:t>MEAS format i merne faze</w:t>
      </w:r>
    </w:p>
    <w:p>
      <w:r>
        <w:t xml:space="preserve">Svi brojevi sa uređaja izlaze kroz jedan grep-abilan log-tag </w:t>
      </w:r>
      <w:r>
        <w:rPr>
          <w:rFonts w:ascii="Consolas" w:hAnsi="Consolas"/>
          <w:sz w:val="21"/>
        </w:rPr>
        <w:t>MEAS</w:t>
      </w:r>
      <w:r>
        <w:t xml:space="preserve"> preko serijske veze (UART), kao jedan </w:t>
      </w:r>
      <w:r>
        <w:rPr>
          <w:i/>
        </w:rPr>
        <w:t>CSV</w:t>
      </w:r>
      <w:r>
        <w:t xml:space="preserve"> red. Isti, bajt-identičan format na oba čvora znači da se kolone poklapaju, što pojednostavljuje uvoz i uporednu obradu:</w:t>
      </w:r>
    </w:p>
    <w:tbl>
      <w:tblPr>
        <w:tblStyle w:val="TableGrid"/>
        <w:tblW w:type="auto" w:w="0"/>
        <w:jc w:val="center"/>
        <w:tblLayout w:type="fixed"/>
        <w:tblLook w:firstColumn="1" w:firstRow="1" w:lastColumn="0" w:lastRow="0" w:noHBand="0" w:noVBand="1" w:val="04A0"/>
        <w:tblLayout w:type="fixed"/>
        <w:tblW w:w="9072" w:type="dxa"/>
      </w:tblPr>
      <w:tblGrid>
        <w:gridCol w:w="8788"/>
      </w:tblGrid>
      <w:tr>
        <w:tc>
          <w:tcPr>
            <w:tcW w:type="dxa" w:w="8788"/>
            <w:shd w:val="clear" w:color="auto" w:fill="f2f1ec"/>
          </w:tcPr>
          <w:p>
            <w:pPr>
              <w:spacing w:after="40" w:before="40"/>
            </w:pPr>
            <w:r>
              <w:rPr>
                <w:rFonts w:ascii="Consolas" w:hAnsi="Consolas"/>
                <w:sz w:val="18"/>
              </w:rPr>
              <w:t>MEAS: &lt;board&gt;,&lt;metric&gt;,&lt;phase&gt;,&lt;a&gt;,&lt;b&gt;,&lt;c&gt;</w:t>
            </w:r>
          </w:p>
        </w:tc>
      </w:tr>
    </w:tbl>
    <w:p>
      <w:r>
        <w:t>Memorija i vreme uzorkuju se u fiksnim, jasno određenim fazama životnog ciklusa povezivanja, tako da su polazne tačke identične na oba čvora. Naredna tabela navodi faze i trenutak u kojem se svaka uzorkuje.</w:t>
      </w:r>
    </w:p>
    <w:p>
      <w:pPr>
        <w:spacing w:before="80" w:after="80"/>
        <w:jc w:val="left"/>
        <w:keepNext/>
      </w:pPr>
      <w:r>
        <w:rPr>
          <w:b/>
          <w:i/>
          <w:sz w:val="19"/>
        </w:rPr>
        <w:t xml:space="preserve">Tabela 12. </w:t>
      </w:r>
      <w:r>
        <w:rPr>
          <w:i/>
          <w:sz w:val="19"/>
        </w:rPr>
        <w:t>Fiksne faze uzorkovanja MEAS instrumentacije</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shd w:val="clear" w:color="auto" w:fill="1f3864"/>
            <w:vAlign w:val="center"/>
          </w:tcPr>
          <w:p>
            <w:pPr>
              <w:spacing w:after="40" w:before="40"/>
              <w:jc w:val="center"/>
            </w:pPr>
            <w:r>
              <w:rPr>
                <w:b/>
                <w:color w:val="FFFFFF"/>
                <w:sz w:val="19"/>
              </w:rPr>
              <w:t>Faza</w:t>
            </w:r>
          </w:p>
        </w:tc>
        <w:tc>
          <w:tcPr>
            <w:tcW w:type="dxa" w:w="4394"/>
            <w:shd w:val="clear" w:color="auto" w:fill="1f3864"/>
            <w:vAlign w:val="center"/>
          </w:tcPr>
          <w:p>
            <w:pPr>
              <w:spacing w:after="40" w:before="40"/>
              <w:jc w:val="center"/>
            </w:pPr>
            <w:r>
              <w:rPr>
                <w:b/>
                <w:color w:val="FFFFFF"/>
                <w:sz w:val="19"/>
              </w:rPr>
              <w:t>Trenutak uzorkovanja</w:t>
            </w:r>
          </w:p>
        </w:tc>
      </w:tr>
      <w:tr>
        <w:tc>
          <w:tcPr>
            <w:tcW w:type="dxa" w:w="4394"/>
            <w:vAlign w:val="center"/>
          </w:tcPr>
          <w:p>
            <w:pPr>
              <w:spacing w:after="20" w:before="20"/>
            </w:pPr>
            <w:r>
              <w:rPr>
                <w:b/>
                <w:sz w:val="19"/>
              </w:rPr>
              <w:t>entry</w:t>
            </w:r>
          </w:p>
        </w:tc>
        <w:tc>
          <w:tcPr>
            <w:tcW w:type="dxa" w:w="4394"/>
            <w:vAlign w:val="center"/>
          </w:tcPr>
          <w:p>
            <w:pPr>
              <w:spacing w:after="20" w:before="20"/>
            </w:pPr>
            <w:r>
              <w:rPr>
                <w:sz w:val="19"/>
              </w:rPr>
              <w:t>Vrh mqtt_start() — baseline posle Wi-Fi povezivanja, pre MQTT-a</w:t>
            </w:r>
          </w:p>
        </w:tc>
      </w:tr>
      <w:tr>
        <w:tc>
          <w:tcPr>
            <w:tcW w:type="dxa" w:w="4394"/>
            <w:vAlign w:val="center"/>
          </w:tcPr>
          <w:p>
            <w:pPr>
              <w:spacing w:after="20" w:before="20"/>
            </w:pPr>
            <w:r>
              <w:rPr>
                <w:b/>
                <w:sz w:val="19"/>
              </w:rPr>
              <w:t>pre_start</w:t>
            </w:r>
          </w:p>
        </w:tc>
        <w:tc>
          <w:tcPr>
            <w:tcW w:type="dxa" w:w="4394"/>
            <w:vAlign w:val="center"/>
          </w:tcPr>
          <w:p>
            <w:pPr>
              <w:spacing w:after="20" w:before="20"/>
            </w:pPr>
            <w:r>
              <w:rPr>
                <w:sz w:val="19"/>
              </w:rPr>
              <w:t>Neposredno pre poziva esp_mqtt_client_start()</w:t>
            </w:r>
          </w:p>
        </w:tc>
      </w:tr>
      <w:tr>
        <w:tc>
          <w:tcPr>
            <w:tcW w:type="dxa" w:w="4394"/>
            <w:vAlign w:val="center"/>
          </w:tcPr>
          <w:p>
            <w:pPr>
              <w:spacing w:after="20" w:before="20"/>
            </w:pPr>
            <w:r>
              <w:rPr>
                <w:b/>
                <w:sz w:val="19"/>
              </w:rPr>
              <w:t>connected</w:t>
            </w:r>
          </w:p>
        </w:tc>
        <w:tc>
          <w:tcPr>
            <w:tcW w:type="dxa" w:w="4394"/>
            <w:vAlign w:val="center"/>
          </w:tcPr>
          <w:p>
            <w:pPr>
              <w:spacing w:after="20" w:before="20"/>
            </w:pPr>
            <w:r>
              <w:rPr>
                <w:sz w:val="19"/>
              </w:rPr>
              <w:t>U trenutku događaja MQTT_EVENT_CONNECTED (uz najveći slobodni blok)</w:t>
            </w:r>
          </w:p>
        </w:tc>
      </w:tr>
      <w:tr>
        <w:tc>
          <w:tcPr>
            <w:tcW w:type="dxa" w:w="4394"/>
            <w:vAlign w:val="center"/>
          </w:tcPr>
          <w:p>
            <w:pPr>
              <w:spacing w:after="20" w:before="20"/>
            </w:pPr>
            <w:r>
              <w:rPr>
                <w:b/>
                <w:sz w:val="19"/>
              </w:rPr>
              <w:t>low_water_5s</w:t>
            </w:r>
          </w:p>
        </w:tc>
        <w:tc>
          <w:tcPr>
            <w:tcW w:type="dxa" w:w="4394"/>
            <w:vAlign w:val="center"/>
          </w:tcPr>
          <w:p>
            <w:pPr>
              <w:spacing w:after="20" w:before="20"/>
            </w:pPr>
            <w:r>
              <w:rPr>
                <w:sz w:val="19"/>
              </w:rPr>
              <w:t>Pet sekundi posle povezivanja (kumulativni minimum heap-a)</w:t>
            </w:r>
          </w:p>
        </w:tc>
      </w:tr>
    </w:tbl>
    <w:p>
      <w:r>
        <w:t xml:space="preserve">Glavni (headline) memorijski broj je </w:t>
      </w:r>
      <w:r>
        <w:rPr>
          <w:i/>
        </w:rPr>
        <w:t>zadržana delta</w:t>
      </w:r>
      <w:r>
        <w:t xml:space="preserve"> — razlika slobodnog heap-a između faza pre-start i connected — jer je pouzdana i uporediva. Kumulativni minimum iz faze low_water_5s tumači se samo kao gornja granica, uz napomenu da obuhvata i dublji Wi-Fi tranzijent koji prethodi </w:t>
      </w:r>
      <w:r>
        <w:rPr>
          <w:i/>
        </w:rPr>
        <w:t>MQTT</w:t>
      </w:r>
      <w:r>
        <w:t xml:space="preserve">-u, pa se ne predstavlja kao „handshake pik". Vreme uspostavljanja veze meri se na esp-mqtt zadatku, između događaja </w:t>
      </w:r>
      <w:r>
        <w:rPr>
          <w:rFonts w:ascii="Consolas" w:hAnsi="Consolas"/>
          <w:sz w:val="21"/>
        </w:rPr>
        <w:t>MQTT_EVENT_BEFORE_CONNECT</w:t>
      </w:r>
      <w:r>
        <w:t xml:space="preserve"> i </w:t>
      </w:r>
      <w:r>
        <w:rPr>
          <w:rFonts w:ascii="Consolas" w:hAnsi="Consolas"/>
          <w:sz w:val="21"/>
        </w:rPr>
        <w:t>MQTT_EVENT_CONNECTED</w:t>
      </w:r>
      <w:r>
        <w:t xml:space="preserve"> (obuhvat: TCP + </w:t>
      </w:r>
      <w:r>
        <w:rPr>
          <w:i/>
        </w:rPr>
        <w:t>TLS</w:t>
      </w:r>
      <w:r>
        <w:t xml:space="preserve"> handshake + CONNECT/CONNACK), a ne oko neblokirajućeg poziva za pokretanje klijenta. Pošto se ovi događaji ponavljaju pri svakom ponovnom povezivanju, ponovljeni uzorci za statistiku dobijaju se iznudivanjem novih povezivanja (na primer, ponovnim pokretanjem brokera ili prekidom Wi-Fi veze).</w:t>
      </w:r>
    </w:p>
    <w:p>
      <w:pPr>
        <w:pStyle w:val="Heading3"/>
        <w:keepNext/>
      </w:pPr>
      <w:r>
        <w:t>Modul diag i run-time statistika</w:t>
      </w:r>
    </w:p>
    <w:p>
      <w:r>
        <w:t xml:space="preserve">Peta merna dimenzija oslanja se na </w:t>
      </w:r>
      <w:r>
        <w:rPr>
          <w:i/>
        </w:rPr>
        <w:t>diag</w:t>
      </w:r>
      <w:r>
        <w:t xml:space="preserve"> modul uveden u firmveru v3.0.0. On koristi FreeRTOS run-time statistiku (sat zasnovan na </w:t>
      </w:r>
      <w:r>
        <w:rPr>
          <w:rFonts w:ascii="Consolas" w:hAnsi="Consolas"/>
          <w:sz w:val="21"/>
        </w:rPr>
        <w:t>esp_timer</w:t>
      </w:r>
      <w:r>
        <w:t xml:space="preserve">) i na svakih 5 sekundi poziva funkciju za pregled stanja svih zadataka, iz koje računa </w:t>
      </w:r>
      <w:r>
        <w:rPr>
          <w:i/>
        </w:rPr>
        <w:t>intervalnu</w:t>
      </w:r>
      <w:r>
        <w:t xml:space="preserve"> (a ne od-boot-a kumulativnu) iskorišćenost procesora po jezgru, izvedenu iz udela idle zadataka:</w:t>
      </w:r>
    </w:p>
    <w:tbl>
      <w:tblPr>
        <w:tblStyle w:val="TableGrid"/>
        <w:tblW w:type="auto" w:w="0"/>
        <w:jc w:val="center"/>
        <w:tblLayout w:type="fixed"/>
        <w:tblLook w:firstColumn="1" w:firstRow="1" w:lastColumn="0" w:lastRow="0" w:noHBand="0" w:noVBand="1" w:val="04A0"/>
        <w:tblLayout w:type="fixed"/>
        <w:tblW w:w="9072" w:type="dxa"/>
      </w:tblPr>
      <w:tblGrid>
        <w:gridCol w:w="8788"/>
      </w:tblGrid>
      <w:tr>
        <w:tc>
          <w:tcPr>
            <w:tcW w:type="dxa" w:w="8788"/>
            <w:shd w:val="clear" w:color="auto" w:fill="f2f1ec"/>
          </w:tcPr>
          <w:p>
            <w:pPr>
              <w:spacing w:after="40" w:before="40"/>
            </w:pPr>
            <w:r>
              <w:rPr>
                <w:rFonts w:ascii="Consolas" w:hAnsi="Consolas"/>
                <w:sz w:val="18"/>
              </w:rPr>
              <w:t>per_core   = Σ(runtime svih zadataka u intervalu) / broj_jezgara</w:t>
              <w:br/>
            </w:r>
            <w:r>
              <w:rPr>
                <w:rFonts w:ascii="Consolas" w:hAnsi="Consolas"/>
                <w:sz w:val="18"/>
              </w:rPr>
              <w:t>load[core] = 100 · (1 − idle_delta[core] / per_core)   [%]</w:t>
            </w:r>
          </w:p>
        </w:tc>
      </w:tr>
    </w:tbl>
    <w:p>
      <w:r>
        <w:t>Pošto se za svako jezgro njegov vezani idle zadatak (</w:t>
      </w:r>
      <w:r>
        <w:rPr>
          <w:rFonts w:ascii="Consolas" w:hAnsi="Consolas"/>
          <w:sz w:val="21"/>
        </w:rPr>
        <w:t>IDLE0</w:t>
      </w:r>
      <w:r>
        <w:t xml:space="preserve">, odnosno </w:t>
      </w:r>
      <w:r>
        <w:rPr>
          <w:rFonts w:ascii="Consolas" w:hAnsi="Consolas"/>
          <w:sz w:val="21"/>
        </w:rPr>
        <w:t>IDLE1</w:t>
      </w:r>
      <w:r>
        <w:t xml:space="preserve">) tumači kao „nezauzeto", iskorišćenost tog jezgra je </w:t>
      </w:r>
      <w:r>
        <w:rPr>
          <w:rFonts w:ascii="Consolas" w:hAnsi="Consolas"/>
          <w:sz w:val="21"/>
        </w:rPr>
        <w:t>100 − idle%</w:t>
      </w:r>
      <w:r>
        <w:t xml:space="preserve">, a prosek dvaju jezgara daje ukupnu iskorišćenost. Metod je jedinično-nezavisan (radi se o odnosu), pa rezolucija sata ne utiče na rezultat. Pored iskorišćenosti procesora, isti modul ispisuje </w:t>
      </w:r>
      <w:r>
        <w:rPr>
          <w:i/>
        </w:rPr>
        <w:t>MEAS</w:t>
      </w:r>
      <w:r>
        <w:t xml:space="preserve"> linije za slobodan heap, jačinu Wi-Fi signala (RSSI), vreme rada i tabelu zadataka sa najmanjim slobodnim stekom (stack high-water), i objavljuje ih na temu </w:t>
      </w:r>
      <w:r>
        <w:rPr>
          <w:rFonts w:ascii="Consolas" w:hAnsi="Consolas"/>
          <w:sz w:val="21"/>
        </w:rPr>
        <w:t>home/&lt;board&gt;/diag/state</w:t>
      </w:r>
      <w:r>
        <w:t xml:space="preserve">, odakle se odgovarajući senzori sami pojavljuju u kontroleru preko </w:t>
      </w:r>
      <w:r>
        <w:rPr>
          <w:i/>
        </w:rPr>
        <w:t>MQTT Discovery</w:t>
      </w:r>
      <w:r>
        <w:t>.</w:t>
      </w:r>
    </w:p>
    <w:p>
      <w:pPr>
        <w:pStyle w:val="Heading2"/>
        <w:keepNext/>
      </w:pPr>
      <w:r>
        <w:t>Merni alati i postupak</w:t>
      </w:r>
    </w:p>
    <w:p>
      <w:r>
        <w:t>Prikupljanje podataka automatizovano je nizom skripti, svaka posvećena jednoj mernoj dimenziji, čime se smanjuje ljudska greška i omogućava ponavljanje merenja. Naredna tabela povezuje svaki alat sa njegovom namenom.</w:t>
      </w:r>
    </w:p>
    <w:p>
      <w:pPr>
        <w:spacing w:before="80" w:after="80"/>
        <w:jc w:val="left"/>
        <w:keepNext/>
      </w:pPr>
      <w:r>
        <w:rPr>
          <w:b/>
          <w:i/>
          <w:sz w:val="19"/>
        </w:rPr>
        <w:t xml:space="preserve">Tabela 13. </w:t>
      </w:r>
      <w:r>
        <w:rPr>
          <w:i/>
          <w:sz w:val="19"/>
        </w:rPr>
        <w:t>Merni alati i njihova namena</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shd w:val="clear" w:color="auto" w:fill="1f3864"/>
            <w:vAlign w:val="center"/>
          </w:tcPr>
          <w:p>
            <w:pPr>
              <w:spacing w:after="40" w:before="40"/>
              <w:jc w:val="center"/>
            </w:pPr>
            <w:r>
              <w:rPr>
                <w:b/>
                <w:color w:val="FFFFFF"/>
                <w:sz w:val="19"/>
              </w:rPr>
              <w:t>Alat</w:t>
            </w:r>
          </w:p>
        </w:tc>
        <w:tc>
          <w:tcPr>
            <w:tcW w:type="dxa" w:w="4394"/>
            <w:shd w:val="clear" w:color="auto" w:fill="1f3864"/>
            <w:vAlign w:val="center"/>
          </w:tcPr>
          <w:p>
            <w:pPr>
              <w:spacing w:after="40" w:before="40"/>
              <w:jc w:val="center"/>
            </w:pPr>
            <w:r>
              <w:rPr>
                <w:b/>
                <w:color w:val="FFFFFF"/>
                <w:sz w:val="19"/>
              </w:rPr>
              <w:t>Namena</w:t>
            </w:r>
          </w:p>
        </w:tc>
      </w:tr>
      <w:tr>
        <w:tc>
          <w:tcPr>
            <w:tcW w:type="dxa" w:w="4394"/>
            <w:vAlign w:val="center"/>
          </w:tcPr>
          <w:p>
            <w:pPr>
              <w:spacing w:after="20" w:before="20"/>
            </w:pPr>
            <w:r>
              <w:rPr>
                <w:b/>
                <w:sz w:val="19"/>
              </w:rPr>
              <w:t>meas_capture.py</w:t>
            </w:r>
          </w:p>
        </w:tc>
        <w:tc>
          <w:tcPr>
            <w:tcW w:type="dxa" w:w="4394"/>
            <w:vAlign w:val="center"/>
          </w:tcPr>
          <w:p>
            <w:pPr>
              <w:spacing w:after="20" w:before="20"/>
            </w:pPr>
            <w:r>
              <w:rPr>
                <w:sz w:val="19"/>
              </w:rPr>
              <w:t>Serijska automatizacija N reset-ova čvora; za svaki boot skuplja MEAS redove za heap i vreme handshake-a (dimenzije 1 i 2)</w:t>
            </w:r>
          </w:p>
        </w:tc>
      </w:tr>
      <w:tr>
        <w:tc>
          <w:tcPr>
            <w:tcW w:type="dxa" w:w="4394"/>
            <w:vAlign w:val="center"/>
          </w:tcPr>
          <w:p>
            <w:pPr>
              <w:spacing w:after="20" w:before="20"/>
            </w:pPr>
            <w:r>
              <w:rPr>
                <w:b/>
                <w:sz w:val="19"/>
              </w:rPr>
              <w:t>rtt.py (paho-mqtt)</w:t>
            </w:r>
          </w:p>
        </w:tc>
        <w:tc>
          <w:tcPr>
            <w:tcW w:type="dxa" w:w="4394"/>
            <w:vAlign w:val="center"/>
          </w:tcPr>
          <w:p>
            <w:pPr>
              <w:spacing w:after="20" w:before="20"/>
            </w:pPr>
            <w:r>
              <w:rPr>
                <w:sz w:val="19"/>
              </w:rPr>
              <w:t>End-to-end command RTT: objavljuje set i meri vreme do state eha na jednom satu; radi na 1883 i, uz CA, na 8883 (dimenzija 4)</w:t>
            </w:r>
          </w:p>
        </w:tc>
      </w:tr>
      <w:tr>
        <w:tc>
          <w:tcPr>
            <w:tcW w:type="dxa" w:w="4394"/>
            <w:vAlign w:val="center"/>
          </w:tcPr>
          <w:p>
            <w:pPr>
              <w:spacing w:after="20" w:before="20"/>
            </w:pPr>
            <w:r>
              <w:rPr>
                <w:b/>
                <w:sz w:val="19"/>
              </w:rPr>
              <w:t>m3_driver.py</w:t>
            </w:r>
          </w:p>
        </w:tc>
        <w:tc>
          <w:tcPr>
            <w:tcW w:type="dxa" w:w="4394"/>
            <w:vAlign w:val="center"/>
          </w:tcPr>
          <w:p>
            <w:pPr>
              <w:spacing w:after="20" w:before="20"/>
            </w:pPr>
            <w:r>
              <w:rPr>
                <w:sz w:val="19"/>
              </w:rPr>
              <w:t>Generator uparenog saobraćaja: objavljuje identičan topic i payload na 1883 i 8883 i resetuje ploče radi svežeg handshake-a (dimenzija 3)</w:t>
            </w:r>
          </w:p>
        </w:tc>
      </w:tr>
      <w:tr>
        <w:tc>
          <w:tcPr>
            <w:tcW w:type="dxa" w:w="4394"/>
            <w:vAlign w:val="center"/>
          </w:tcPr>
          <w:p>
            <w:pPr>
              <w:spacing w:after="20" w:before="20"/>
            </w:pPr>
            <w:r>
              <w:rPr>
                <w:b/>
                <w:sz w:val="19"/>
              </w:rPr>
              <w:t>tcpdump + pcap_analyze.py</w:t>
            </w:r>
          </w:p>
        </w:tc>
        <w:tc>
          <w:tcPr>
            <w:tcW w:type="dxa" w:w="4394"/>
            <w:vAlign w:val="center"/>
          </w:tcPr>
          <w:p>
            <w:pPr>
              <w:spacing w:after="20" w:before="20"/>
            </w:pPr>
            <w:r>
              <w:rPr>
                <w:sz w:val="19"/>
              </w:rPr>
              <w:t>Snimanje saobraćaja na hostu brokera i analiza pcap-a (scapy): veličine, veličina handshake-a, dokaz enkripcije (dimenzija 3)</w:t>
            </w:r>
          </w:p>
        </w:tc>
      </w:tr>
      <w:tr>
        <w:tc>
          <w:tcPr>
            <w:tcW w:type="dxa" w:w="4394"/>
            <w:vAlign w:val="center"/>
          </w:tcPr>
          <w:p>
            <w:pPr>
              <w:spacing w:after="20" w:before="20"/>
            </w:pPr>
            <w:r>
              <w:rPr>
                <w:b/>
                <w:sz w:val="19"/>
              </w:rPr>
              <w:t>Wireshark / tshark</w:t>
            </w:r>
          </w:p>
        </w:tc>
        <w:tc>
          <w:tcPr>
            <w:tcW w:type="dxa" w:w="4394"/>
            <w:vAlign w:val="center"/>
          </w:tcPr>
          <w:p>
            <w:pPr>
              <w:spacing w:after="20" w:before="20"/>
            </w:pPr>
            <w:r>
              <w:rPr>
                <w:sz w:val="19"/>
              </w:rPr>
              <w:t>Vizuelna i CLI inspekcija: Follow TCP Stream, ServerHello (verzija i cipher), opaque Application Data</w:t>
            </w:r>
          </w:p>
        </w:tc>
      </w:tr>
      <w:tr>
        <w:tc>
          <w:tcPr>
            <w:tcW w:type="dxa" w:w="4394"/>
            <w:vAlign w:val="center"/>
          </w:tcPr>
          <w:p>
            <w:pPr>
              <w:spacing w:after="20" w:before="20"/>
            </w:pPr>
            <w:r>
              <w:rPr>
                <w:b/>
                <w:sz w:val="19"/>
              </w:rPr>
              <w:t>cap_serial.py</w:t>
            </w:r>
          </w:p>
        </w:tc>
        <w:tc>
          <w:tcPr>
            <w:tcW w:type="dxa" w:w="4394"/>
            <w:vAlign w:val="center"/>
          </w:tcPr>
          <w:p>
            <w:pPr>
              <w:spacing w:after="20" w:before="20"/>
            </w:pPr>
            <w:r>
              <w:rPr>
                <w:sz w:val="19"/>
              </w:rPr>
              <w:t>Snimanje boot loga (MEAS cpu,load i task dump) na v3.0.0 (dimenzija 5)</w:t>
            </w:r>
          </w:p>
        </w:tc>
      </w:tr>
    </w:tbl>
    <w:p>
      <w:r>
        <w:t xml:space="preserve">Postupak je vođen doslednim redosledom. Za memoriju i vreme handshake-a, skripta za serijsko snimanje resetuje ploču preko signala DTR/RTS, sačeka pun boot (Wi-Fi, pa </w:t>
      </w:r>
      <w:r>
        <w:rPr>
          <w:i/>
        </w:rPr>
        <w:t>MQTT</w:t>
      </w:r>
      <w:r>
        <w:t xml:space="preserve"> povezivanje, pa petsekundni prozor za kumulativni minimum) i zabeleži </w:t>
      </w:r>
      <w:r>
        <w:rPr>
          <w:i/>
        </w:rPr>
        <w:t>MEAS</w:t>
      </w:r>
      <w:r>
        <w:t xml:space="preserve"> redove; ciklus se ponavlja unapred zadati broj puta po čvoru. Mrežni snimak se pravi </w:t>
      </w:r>
      <w:r>
        <w:rPr>
          <w:i/>
        </w:rPr>
        <w:t>na hostu brokera</w:t>
      </w:r>
      <w:r>
        <w:t xml:space="preserve"> (na Wi-Fi interfejsu), a ne na klijentu, jer bi se na klijentu videli samo frejmovi šifrovani na sloju veze; tokom snimanja generator uparenog saobraćaja objavljuje istovetne poruke na oba porta radi poštenog poređenja veličine na žici. Odziv sistema meri se objavljivanjem komande na </w:t>
      </w:r>
      <w:r>
        <w:rPr>
          <w:rFonts w:ascii="Consolas" w:hAnsi="Consolas"/>
          <w:sz w:val="21"/>
        </w:rPr>
        <w:t>set</w:t>
      </w:r>
      <w:r>
        <w:t xml:space="preserve"> temu i merenjem vremena do eha na pripadajućoj </w:t>
      </w:r>
      <w:r>
        <w:rPr>
          <w:rFonts w:ascii="Consolas" w:hAnsi="Consolas"/>
          <w:sz w:val="21"/>
        </w:rPr>
        <w:t>state</w:t>
      </w:r>
      <w:r>
        <w:t xml:space="preserve"> temi.</w:t>
      </w:r>
    </w:p>
    <w:p>
      <w:r>
        <w:t xml:space="preserve">Skripta za merenje odziva ugrađuje dve ispravke bez kojih bi rezultati bili obmanjujući. Pošto su </w:t>
      </w:r>
      <w:r>
        <w:rPr>
          <w:rFonts w:ascii="Consolas" w:hAnsi="Consolas"/>
          <w:sz w:val="21"/>
        </w:rPr>
        <w:t>state</w:t>
      </w:r>
      <w:r>
        <w:t xml:space="preserve"> teme retained, prva poruka koja stigne odmah po pretplati je zaostala vrednost i daje lažno nulti odziv, pa se odbacuje. Pošto se ponovljene istovetne komande ne bi razlikovale, skripta naizmenično šalje uključi/isključi, tako da svaka komanda proizvede jasno razlučiv, sveže tajmovan eho; oba smera koriste QoS 0 i jedan sat visoke rezolucije. Za merenje procesorskog opterećenja pod stvarnim radom, na referentni čvor je preko REST sučelja kontrolera poslato oko 1300 komandi za približno 45 sekundi (reda 29 komandi u sekundi), čime se izmerila iskorišćenost pod opterećenjem, stabilnost heap-a i brzina oporavka.</w:t>
      </w:r>
    </w:p>
    <w:p>
      <w:pPr>
        <w:pStyle w:val="Heading2"/>
        <w:keepNext/>
      </w:pPr>
      <w:r>
        <w:t>Izolacija TLS troška: unakrsno oduzimanje</w:t>
      </w:r>
    </w:p>
    <w:p>
      <w:r>
        <w:t xml:space="preserve">Noseće metodološko načelo jeste izolacija </w:t>
      </w:r>
      <w:r>
        <w:rPr>
          <w:i/>
        </w:rPr>
        <w:t>TLS</w:t>
      </w:r>
      <w:r>
        <w:t xml:space="preserve"> troška kroz </w:t>
      </w:r>
      <w:r>
        <w:rPr>
          <w:i/>
        </w:rPr>
        <w:t>unakrsno oduzimanje</w:t>
      </w:r>
      <w:r>
        <w:t xml:space="preserve">. Oba čvora izvršavaju isti merni kod, povezuju se na isti broker preko iste lokalne mreže i prolaze kroz isti tok </w:t>
      </w:r>
      <w:r>
        <w:rPr>
          <w:i/>
        </w:rPr>
        <w:t>MQTT</w:t>
      </w:r>
      <w:r>
        <w:t xml:space="preserve"> povezivanja; jedina namerna razlika je prisustvo </w:t>
      </w:r>
      <w:r>
        <w:rPr>
          <w:i/>
        </w:rPr>
        <w:t>TLS</w:t>
      </w:r>
      <w:r>
        <w:t xml:space="preserve"> sloja na čvoru esp2. Zbog toga se trošak </w:t>
      </w:r>
      <w:r>
        <w:rPr>
          <w:i/>
        </w:rPr>
        <w:t>TLS</w:t>
      </w:r>
      <w:r>
        <w:t>-a za bilo koju metriku dobija oduzimanjem baseline vrednosti referentnog čvora od vrednosti čvora koji je predmet analize:</w:t>
      </w:r>
    </w:p>
    <w:tbl>
      <w:tblPr>
        <w:tblStyle w:val="TableGrid"/>
        <w:tblW w:type="auto" w:w="0"/>
        <w:jc w:val="center"/>
        <w:tblLayout w:type="fixed"/>
        <w:tblLook w:firstColumn="1" w:firstRow="1" w:lastColumn="0" w:lastRow="0" w:noHBand="0" w:noVBand="1" w:val="04A0"/>
        <w:tblLayout w:type="fixed"/>
        <w:tblW w:w="9072" w:type="dxa"/>
      </w:tblPr>
      <w:tblGrid>
        <w:gridCol w:w="8788"/>
      </w:tblGrid>
      <w:tr>
        <w:tc>
          <w:tcPr>
            <w:tcW w:type="dxa" w:w="8788"/>
            <w:shd w:val="clear" w:color="auto" w:fill="f2f1ec"/>
          </w:tcPr>
          <w:p>
            <w:pPr>
              <w:spacing w:after="40" w:before="40"/>
            </w:pPr>
            <w:r>
              <w:rPr>
                <w:rFonts w:ascii="Consolas" w:hAnsi="Consolas"/>
                <w:sz w:val="18"/>
              </w:rPr>
              <w:t>TLS_trošak(metrika) = metrika(esp2, MQTTS 8883) − metrika(esp1, plain 1883)</w:t>
            </w:r>
          </w:p>
        </w:tc>
      </w:tr>
    </w:tbl>
    <w:p>
      <w:r>
        <w:t xml:space="preserve">Značaj ovog pristupa je u tome što oduzimanje poništava zajedničku varijansu — sve troškove koje oba čvora dele podjednako. Uspostavljanje Wi-Fi veze, dodela adrese preko </w:t>
      </w:r>
      <w:r>
        <w:rPr>
          <w:i/>
        </w:rPr>
        <w:t>DHCP</w:t>
      </w:r>
      <w:r>
        <w:t xml:space="preserve">-a, autentifikacija na brokeru, sam TCP i osnovna obrada </w:t>
      </w:r>
      <w:r>
        <w:rPr>
          <w:i/>
        </w:rPr>
        <w:t>MQTT</w:t>
      </w:r>
      <w:r>
        <w:t xml:space="preserve"> protokola prisutni su na obe strane i ulaze u obe merene vrednosti, pa se pri oduzimanju uzajamno ukidaju. Ostatak je čist doprinos </w:t>
      </w:r>
      <w:r>
        <w:rPr>
          <w:i/>
        </w:rPr>
        <w:t>TLS</w:t>
      </w:r>
      <w:r>
        <w:t xml:space="preserve"> sloja. Time se izbegava potreba za apsolutnim, kalibrisanim merenjem svakog pojedinačnog činioca; dovoljno je pošteno diferencijalno poređenje dva inače istovetna čvora.</w:t>
      </w:r>
    </w:p>
    <w:p>
      <w:r>
        <w:t xml:space="preserve">Dva ograničenja ovog metoda ugrađena su u postupak. Prvo, okvir esp-mqtt ne izlaže poseban događaj „TLS završen", pa se </w:t>
      </w:r>
      <w:r>
        <w:rPr>
          <w:i/>
        </w:rPr>
        <w:t>TLS</w:t>
      </w:r>
      <w:r>
        <w:t xml:space="preserve"> deo vremena povezivanja ne meri direktno, već upravo unakrsnim oduzimanjem od baseline vremena povezivanja; finija podela na TCP, </w:t>
      </w:r>
      <w:r>
        <w:rPr>
          <w:i/>
        </w:rPr>
        <w:t>TLS</w:t>
      </w:r>
      <w:r>
        <w:t xml:space="preserve"> i CONNACK dolazi iz analize pcap snimka, gde su vremenske oznake unutar jednog TCP toka interno konzistentne. Drugo, vremenske oznake sa uređaja i sa hosta potiču iz nesinhronizovanih satova, pa se razlike sa uređaja uvek računaju na satu uređaja, a razlike iz snimka unutar jednog toka — nikada se ne mešaju dva sata.</w:t>
      </w:r>
    </w:p>
    <w:p>
      <w:pPr>
        <w:pStyle w:val="Heading2"/>
        <w:keepNext/>
      </w:pPr>
      <w:r>
        <w:t>Statistički pristup</w:t>
      </w:r>
    </w:p>
    <w:p>
      <w:r>
        <w:t xml:space="preserve">Da bi zaključci bili otporni na slučajnu varijansu, svaka veličina merena je više puta. Za heap i vreme handshake-a prikupljeno je po </w:t>
      </w:r>
      <w:r>
        <w:rPr>
          <w:i/>
        </w:rPr>
        <w:t>30 boot-ciklusa</w:t>
      </w:r>
      <w:r>
        <w:t xml:space="preserve"> po čvoru, a za odziv sistema po </w:t>
      </w:r>
      <w:r>
        <w:rPr>
          <w:i/>
        </w:rPr>
        <w:t>100 uzoraka</w:t>
      </w:r>
      <w:r>
        <w:t xml:space="preserve"> po kanalu (bez ijednog izgubljenog uzorka); mrežni snimak obuhvata 126 paketa koji pokrivaju pun handshake i objavljivanje na oba porta. Nad prikupljenim uzorcima računaju se aritmetička sredina, medijana, 95. percentil, minimum i maksimum, ali se za različite dimenzije kao noseća mera bira ona koja verno predstavlja pojavu.</w:t>
      </w:r>
    </w:p>
    <w:p>
      <w:r>
        <w:t xml:space="preserve">Za vreme povezivanja kao noseća mera koristi se </w:t>
      </w:r>
      <w:r>
        <w:rPr>
          <w:i/>
        </w:rPr>
        <w:t>medijana</w:t>
      </w:r>
      <w:r>
        <w:t>. Baseline vreme povezivanja pokazuje veliku disperziju sa retkim, ali izraženim odskocima (na primer, povremeni duži Wi-Fi tranzijent), pa bi aritmetička sredina bila pomerena naviše zbog malog broja ekstremnih vrednosti i ne bi opisala tipičan slučaj. Medijana je otporna na takve odskoke i stoga vernije predstavlja očekivano trajanje povezivanja koje uređaj zaista vidi u većini boot-ova.</w:t>
      </w:r>
    </w:p>
    <w:p>
      <w:r>
        <w:t xml:space="preserve">Za odziv sistema kao noseća mera koristi se </w:t>
      </w:r>
      <w:r>
        <w:rPr>
          <w:i/>
        </w:rPr>
        <w:t>95. percentil (p95)</w:t>
      </w:r>
      <w:r>
        <w:t>. Hipoteza postavlja granicu na odziv koji korisnik oseti, a percep­cija kvaliteta zavisi od repa raspodele, ne od proseka — sistem se doživljava kao spor onda kada značajan udeo komandi kasni, čak i ako je prosek nizak. Zahtevom da p95 ostane ispod 200 ms proverava se da je gotovo svaka komanda (ne samo prosečna) unutar prihvatljive granice, što je stroža i praktično relevantnija provera od poređenja srednjih vrednosti. Konkretne izmerene vrednosti po svim dimenzijama i njihova interpretacija iznose se u poglavlju o rezultatima.</w:t>
      </w:r>
    </w:p>
    <w:p>
      <w:r>
        <w:br w:type="page"/>
      </w:r>
    </w:p>
    <w:p>
      <w:pPr>
        <w:pStyle w:val="Heading1"/>
        <w:keepNext/>
      </w:pPr>
      <w:r>
        <w:t>Rezultati merenja</w:t>
      </w:r>
    </w:p>
    <w:p>
      <w:r>
        <w:t>Ovo poglavlje objedinjuje rezultate svih sprovedenih merenja i predstavlja ih kroz tabele i grafikone, izolujući trošak koji Transport Layer Security (TLS) sloj unosi u komunikaciju Message Queuing Telemetry Transport (MQTT) protokola. Metodološki pristup počiva na uparenom poređenju dva ESP32 čvora: čvor esp1_lights komunicira običnim MQTT-om preko porta 1883 i predstavlja referentnu tačku (baseline), dok čvor esp2_temperature koristi MQTT preko TLS-a (MQTTS) na portu 8883 i predstavlja predmet analize. TLS trošak se dobija „unakrsnim oduzimanjem” izmerenih vrednosti dva čvora, čime se zajednička komponenta (Wi-Fi, broker, mreža) poništava, a izoluje se doprinos samog sloja bezbednosti. Svi navedeni brojevi stvarno su izmereni na hardveru sa firmverom verzije v3.0.0, a ne procenjeni.</w:t>
      </w:r>
    </w:p>
    <w:p>
      <w:r>
        <w:t>Naredna tabela sažima svih pet mernih dimenzija, sa TLS troškom prikazanim kao razlika između dva čvora i sažetim nalazom po svakoj dimenziji.</w:t>
      </w:r>
    </w:p>
    <w:p>
      <w:pPr>
        <w:spacing w:before="80" w:after="80"/>
        <w:jc w:val="left"/>
        <w:keepNext/>
      </w:pPr>
      <w:r>
        <w:rPr>
          <w:b/>
          <w:i/>
          <w:sz w:val="19"/>
        </w:rPr>
        <w:t xml:space="preserve">Tabela 14. </w:t>
      </w:r>
      <w:r>
        <w:rPr>
          <w:i/>
          <w:sz w:val="19"/>
        </w:rPr>
        <w:t>Sažetak svih pet mernih dimenzija sa izolovanim TLS troškom</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shd w:val="clear" w:color="auto" w:fill="1f3864"/>
            <w:vAlign w:val="center"/>
          </w:tcPr>
          <w:p>
            <w:pPr>
              <w:spacing w:after="40" w:before="40"/>
              <w:jc w:val="center"/>
            </w:pPr>
            <w:r>
              <w:rPr>
                <w:b/>
                <w:color w:val="FFFFFF"/>
                <w:sz w:val="19"/>
              </w:rPr>
              <w:t>Metrika</w:t>
            </w:r>
          </w:p>
        </w:tc>
        <w:tc>
          <w:tcPr>
            <w:tcW w:type="dxa" w:w="1758"/>
            <w:shd w:val="clear" w:color="auto" w:fill="1f3864"/>
            <w:vAlign w:val="center"/>
          </w:tcPr>
          <w:p>
            <w:pPr>
              <w:spacing w:after="40" w:before="40"/>
              <w:jc w:val="center"/>
            </w:pPr>
            <w:r>
              <w:rPr>
                <w:b/>
                <w:color w:val="FFFFFF"/>
                <w:sz w:val="19"/>
              </w:rPr>
              <w:t>Plain (esp1)</w:t>
            </w:r>
          </w:p>
        </w:tc>
        <w:tc>
          <w:tcPr>
            <w:tcW w:type="dxa" w:w="1758"/>
            <w:shd w:val="clear" w:color="auto" w:fill="1f3864"/>
            <w:vAlign w:val="center"/>
          </w:tcPr>
          <w:p>
            <w:pPr>
              <w:spacing w:after="40" w:before="40"/>
              <w:jc w:val="center"/>
            </w:pPr>
            <w:r>
              <w:rPr>
                <w:b/>
                <w:color w:val="FFFFFF"/>
                <w:sz w:val="19"/>
              </w:rPr>
              <w:t>MQTTS (esp2)</w:t>
            </w:r>
          </w:p>
        </w:tc>
        <w:tc>
          <w:tcPr>
            <w:tcW w:type="dxa" w:w="1758"/>
            <w:shd w:val="clear" w:color="auto" w:fill="1f3864"/>
            <w:vAlign w:val="center"/>
          </w:tcPr>
          <w:p>
            <w:pPr>
              <w:spacing w:after="40" w:before="40"/>
              <w:jc w:val="center"/>
            </w:pPr>
            <w:r>
              <w:rPr>
                <w:b/>
                <w:color w:val="FFFFFF"/>
                <w:sz w:val="19"/>
              </w:rPr>
              <w:t>TLS trošak</w:t>
            </w:r>
          </w:p>
        </w:tc>
        <w:tc>
          <w:tcPr>
            <w:tcW w:type="dxa" w:w="1758"/>
            <w:shd w:val="clear" w:color="auto" w:fill="1f3864"/>
            <w:vAlign w:val="center"/>
          </w:tcPr>
          <w:p>
            <w:pPr>
              <w:spacing w:after="40" w:before="40"/>
              <w:jc w:val="center"/>
            </w:pPr>
            <w:r>
              <w:rPr>
                <w:b/>
                <w:color w:val="FFFFFF"/>
                <w:sz w:val="19"/>
              </w:rPr>
              <w:t>Nalaz</w:t>
            </w:r>
          </w:p>
        </w:tc>
      </w:tr>
      <w:tr>
        <w:tc>
          <w:tcPr>
            <w:tcW w:type="dxa" w:w="1758"/>
            <w:vAlign w:val="center"/>
          </w:tcPr>
          <w:p>
            <w:pPr>
              <w:spacing w:after="20" w:before="20"/>
            </w:pPr>
            <w:r>
              <w:rPr>
                <w:b/>
                <w:sz w:val="19"/>
              </w:rPr>
              <w:t>Memorija — zadržani heap</w:t>
            </w:r>
          </w:p>
        </w:tc>
        <w:tc>
          <w:tcPr>
            <w:tcW w:type="dxa" w:w="1758"/>
            <w:vAlign w:val="center"/>
          </w:tcPr>
          <w:p>
            <w:pPr>
              <w:spacing w:after="20" w:before="20"/>
            </w:pPr>
            <w:r>
              <w:rPr>
                <w:sz w:val="19"/>
              </w:rPr>
              <w:t>7,35 KB</w:t>
            </w:r>
          </w:p>
        </w:tc>
        <w:tc>
          <w:tcPr>
            <w:tcW w:type="dxa" w:w="1758"/>
            <w:vAlign w:val="center"/>
          </w:tcPr>
          <w:p>
            <w:pPr>
              <w:spacing w:after="20" w:before="20"/>
            </w:pPr>
            <w:r>
              <w:rPr>
                <w:sz w:val="19"/>
              </w:rPr>
              <w:t>40,65 KB</w:t>
            </w:r>
          </w:p>
        </w:tc>
        <w:tc>
          <w:tcPr>
            <w:tcW w:type="dxa" w:w="1758"/>
            <w:vAlign w:val="center"/>
          </w:tcPr>
          <w:p>
            <w:pPr>
              <w:spacing w:after="20" w:before="20"/>
            </w:pPr>
            <w:r>
              <w:rPr>
                <w:sz w:val="19"/>
              </w:rPr>
              <w:t>+33,3 KB</w:t>
            </w:r>
          </w:p>
        </w:tc>
        <w:tc>
          <w:tcPr>
            <w:tcW w:type="dxa" w:w="1758"/>
            <w:vAlign w:val="center"/>
          </w:tcPr>
          <w:p>
            <w:pPr>
              <w:spacing w:after="20" w:before="20"/>
            </w:pPr>
            <w:r>
              <w:rPr>
                <w:sz w:val="19"/>
              </w:rPr>
              <w:t>≈15 % heap-a; fragmentacija nepromenjena</w:t>
            </w:r>
          </w:p>
        </w:tc>
      </w:tr>
      <w:tr>
        <w:tc>
          <w:tcPr>
            <w:tcW w:type="dxa" w:w="1758"/>
            <w:vAlign w:val="center"/>
          </w:tcPr>
          <w:p>
            <w:pPr>
              <w:spacing w:after="20" w:before="20"/>
            </w:pPr>
            <w:r>
              <w:rPr>
                <w:b/>
                <w:sz w:val="19"/>
              </w:rPr>
              <w:t>Vreme povezivanja (median)</w:t>
            </w:r>
          </w:p>
        </w:tc>
        <w:tc>
          <w:tcPr>
            <w:tcW w:type="dxa" w:w="1758"/>
            <w:vAlign w:val="center"/>
          </w:tcPr>
          <w:p>
            <w:pPr>
              <w:spacing w:after="20" w:before="20"/>
            </w:pPr>
            <w:r>
              <w:rPr>
                <w:sz w:val="19"/>
              </w:rPr>
              <w:t>56 ms</w:t>
            </w:r>
          </w:p>
        </w:tc>
        <w:tc>
          <w:tcPr>
            <w:tcW w:type="dxa" w:w="1758"/>
            <w:vAlign w:val="center"/>
          </w:tcPr>
          <w:p>
            <w:pPr>
              <w:spacing w:after="20" w:before="20"/>
            </w:pPr>
            <w:r>
              <w:rPr>
                <w:sz w:val="19"/>
              </w:rPr>
              <w:t>584 ms</w:t>
            </w:r>
          </w:p>
        </w:tc>
        <w:tc>
          <w:tcPr>
            <w:tcW w:type="dxa" w:w="1758"/>
            <w:vAlign w:val="center"/>
          </w:tcPr>
          <w:p>
            <w:pPr>
              <w:spacing w:after="20" w:before="20"/>
            </w:pPr>
            <w:r>
              <w:rPr>
                <w:sz w:val="19"/>
              </w:rPr>
              <w:t>+528 ms</w:t>
            </w:r>
          </w:p>
        </w:tc>
        <w:tc>
          <w:tcPr>
            <w:tcW w:type="dxa" w:w="1758"/>
            <w:vAlign w:val="center"/>
          </w:tcPr>
          <w:p>
            <w:pPr>
              <w:spacing w:after="20" w:before="20"/>
            </w:pPr>
            <w:r>
              <w:rPr>
                <w:sz w:val="19"/>
              </w:rPr>
              <w:t>jednokratno po konekciji</w:t>
            </w:r>
          </w:p>
        </w:tc>
      </w:tr>
      <w:tr>
        <w:tc>
          <w:tcPr>
            <w:tcW w:type="dxa" w:w="1758"/>
            <w:vAlign w:val="center"/>
          </w:tcPr>
          <w:p>
            <w:pPr>
              <w:spacing w:after="20" w:before="20"/>
            </w:pPr>
            <w:r>
              <w:rPr>
                <w:b/>
                <w:sz w:val="19"/>
              </w:rPr>
              <w:t>Veličina PUBLISH-a na žici</w:t>
            </w:r>
          </w:p>
        </w:tc>
        <w:tc>
          <w:tcPr>
            <w:tcW w:type="dxa" w:w="1758"/>
            <w:vAlign w:val="center"/>
          </w:tcPr>
          <w:p>
            <w:pPr>
              <w:spacing w:after="20" w:before="20"/>
            </w:pPr>
            <w:r>
              <w:rPr>
                <w:sz w:val="19"/>
              </w:rPr>
              <w:t>45 B</w:t>
            </w:r>
          </w:p>
        </w:tc>
        <w:tc>
          <w:tcPr>
            <w:tcW w:type="dxa" w:w="1758"/>
            <w:vAlign w:val="center"/>
          </w:tcPr>
          <w:p>
            <w:pPr>
              <w:spacing w:after="20" w:before="20"/>
            </w:pPr>
            <w:r>
              <w:rPr>
                <w:sz w:val="19"/>
              </w:rPr>
              <w:t>74 B</w:t>
            </w:r>
          </w:p>
        </w:tc>
        <w:tc>
          <w:tcPr>
            <w:tcW w:type="dxa" w:w="1758"/>
            <w:vAlign w:val="center"/>
          </w:tcPr>
          <w:p>
            <w:pPr>
              <w:spacing w:after="20" w:before="20"/>
            </w:pPr>
            <w:r>
              <w:rPr>
                <w:sz w:val="19"/>
              </w:rPr>
              <w:t>+29 B (+64 %)</w:t>
            </w:r>
          </w:p>
        </w:tc>
        <w:tc>
          <w:tcPr>
            <w:tcW w:type="dxa" w:w="1758"/>
            <w:vAlign w:val="center"/>
          </w:tcPr>
          <w:p>
            <w:pPr>
              <w:spacing w:after="20" w:before="20"/>
            </w:pPr>
            <w:r>
              <w:rPr>
                <w:sz w:val="19"/>
              </w:rPr>
              <w:t>konstantan AEAD okvir</w:t>
            </w:r>
          </w:p>
        </w:tc>
      </w:tr>
      <w:tr>
        <w:tc>
          <w:tcPr>
            <w:tcW w:type="dxa" w:w="1758"/>
            <w:vAlign w:val="center"/>
          </w:tcPr>
          <w:p>
            <w:pPr>
              <w:spacing w:after="20" w:before="20"/>
            </w:pPr>
            <w:r>
              <w:rPr>
                <w:b/>
                <w:sz w:val="19"/>
              </w:rPr>
              <w:t>Command RTT (p95)</w:t>
            </w:r>
          </w:p>
        </w:tc>
        <w:tc>
          <w:tcPr>
            <w:tcW w:type="dxa" w:w="1758"/>
            <w:vAlign w:val="center"/>
          </w:tcPr>
          <w:p>
            <w:pPr>
              <w:spacing w:after="20" w:before="20"/>
            </w:pPr>
            <w:r>
              <w:rPr>
                <w:sz w:val="19"/>
              </w:rPr>
              <w:t>182,11 ms</w:t>
            </w:r>
          </w:p>
        </w:tc>
        <w:tc>
          <w:tcPr>
            <w:tcW w:type="dxa" w:w="1758"/>
            <w:vAlign w:val="center"/>
          </w:tcPr>
          <w:p>
            <w:pPr>
              <w:spacing w:after="20" w:before="20"/>
            </w:pPr>
            <w:r>
              <w:rPr>
                <w:sz w:val="19"/>
              </w:rPr>
              <w:t>189,60 ms</w:t>
            </w:r>
          </w:p>
        </w:tc>
        <w:tc>
          <w:tcPr>
            <w:tcW w:type="dxa" w:w="1758"/>
            <w:vAlign w:val="center"/>
          </w:tcPr>
          <w:p>
            <w:pPr>
              <w:spacing w:after="20" w:before="20"/>
            </w:pPr>
            <w:r>
              <w:rPr>
                <w:sz w:val="19"/>
              </w:rPr>
              <w:t>+7,5 ms</w:t>
            </w:r>
          </w:p>
        </w:tc>
        <w:tc>
          <w:tcPr>
            <w:tcW w:type="dxa" w:w="1758"/>
            <w:vAlign w:val="center"/>
          </w:tcPr>
          <w:p>
            <w:pPr>
              <w:spacing w:after="20" w:before="20"/>
            </w:pPr>
            <w:r>
              <w:rPr>
                <w:sz w:val="19"/>
              </w:rPr>
              <w:t>oba kanala &lt; 200 ms</w:t>
            </w:r>
          </w:p>
        </w:tc>
      </w:tr>
      <w:tr>
        <w:tc>
          <w:tcPr>
            <w:tcW w:type="dxa" w:w="1758"/>
            <w:vAlign w:val="center"/>
          </w:tcPr>
          <w:p>
            <w:pPr>
              <w:spacing w:after="20" w:before="20"/>
            </w:pPr>
            <w:r>
              <w:rPr>
                <w:b/>
                <w:sz w:val="19"/>
              </w:rPr>
              <w:t>CPU (prozor povezivanja, avg)</w:t>
            </w:r>
          </w:p>
        </w:tc>
        <w:tc>
          <w:tcPr>
            <w:tcW w:type="dxa" w:w="1758"/>
            <w:vAlign w:val="center"/>
          </w:tcPr>
          <w:p>
            <w:pPr>
              <w:spacing w:after="20" w:before="20"/>
            </w:pPr>
            <w:r>
              <w:rPr>
                <w:sz w:val="19"/>
              </w:rPr>
              <w:t>28 %</w:t>
            </w:r>
          </w:p>
        </w:tc>
        <w:tc>
          <w:tcPr>
            <w:tcW w:type="dxa" w:w="1758"/>
            <w:vAlign w:val="center"/>
          </w:tcPr>
          <w:p>
            <w:pPr>
              <w:spacing w:after="20" w:before="20"/>
            </w:pPr>
            <w:r>
              <w:rPr>
                <w:sz w:val="19"/>
              </w:rPr>
              <w:t>34 %</w:t>
            </w:r>
          </w:p>
        </w:tc>
        <w:tc>
          <w:tcPr>
            <w:tcW w:type="dxa" w:w="1758"/>
            <w:vAlign w:val="center"/>
          </w:tcPr>
          <w:p>
            <w:pPr>
              <w:spacing w:after="20" w:before="20"/>
            </w:pPr>
            <w:r>
              <w:rPr>
                <w:sz w:val="19"/>
              </w:rPr>
              <w:t>+6</w:t>
            </w:r>
          </w:p>
        </w:tc>
        <w:tc>
          <w:tcPr>
            <w:tcW w:type="dxa" w:w="1758"/>
            <w:vAlign w:val="center"/>
          </w:tcPr>
          <w:p>
            <w:pPr>
              <w:spacing w:after="20" w:before="20"/>
            </w:pPr>
            <w:r>
              <w:rPr>
                <w:sz w:val="19"/>
              </w:rPr>
              <w:t>tranzijentni šiljak; idle ≈1 %</w:t>
            </w:r>
          </w:p>
        </w:tc>
      </w:tr>
    </w:tbl>
    <w:p>
      <w:r>
        <w:t>Ukratko, TLS unosi merljivo opterećenje na memoriju, na jednokratno vreme povezivanja i na veličinu poruke, ali odziv po komandi ostaje ispod granice od 200 ms. Naredni odeljci razlažu svaku dimenziju pojedinačno.</w:t>
      </w:r>
    </w:p>
    <w:p>
      <w:pPr>
        <w:pStyle w:val="Heading2"/>
        <w:keepNext/>
      </w:pPr>
      <w:r>
        <w:t>Memorijski overhead (heap)</w:t>
      </w:r>
    </w:p>
    <w:p>
      <w:r>
        <w:t xml:space="preserve">Slobodan heap meren je pozivom funkcije </w:t>
      </w:r>
      <w:r>
        <w:rPr>
          <w:rFonts w:ascii="Consolas" w:hAnsi="Consolas"/>
          <w:sz w:val="21"/>
        </w:rPr>
        <w:t>esp_get_free_heap_size</w:t>
      </w:r>
      <w:r>
        <w:t xml:space="preserve"> u četiri fiksne tačke životnog ciklusa čvora, kroz n=30 boot-ciklusa po čvoru; prijavljuju se srednje vrednosti. Ključna izvedena veličina je zadržani heap, definisan kao razlika slobodne memorije pre uspostavljanja konekcije i posle nje (pre_start − connected) — ona predstavlja memoriju koju sloj komunikacije trajno zauzme dok je veza aktivna.</w:t>
      </w:r>
    </w:p>
    <w:p>
      <w:pPr>
        <w:spacing w:before="80" w:after="80"/>
        <w:jc w:val="left"/>
        <w:keepNext/>
      </w:pPr>
      <w:r>
        <w:rPr>
          <w:b/>
          <w:i/>
          <w:sz w:val="19"/>
        </w:rPr>
        <w:t xml:space="preserve">Tabela 15. </w:t>
      </w:r>
      <w:r>
        <w:rPr>
          <w:i/>
          <w:sz w:val="19"/>
        </w:rPr>
        <w:t>Slobodan heap po fazama i izvedeni zadržani heap (n=30 po čvoru)</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shd w:val="clear" w:color="auto" w:fill="1f3864"/>
            <w:vAlign w:val="center"/>
          </w:tcPr>
          <w:p>
            <w:pPr>
              <w:spacing w:after="40" w:before="40"/>
              <w:jc w:val="center"/>
            </w:pPr>
            <w:r>
              <w:rPr>
                <w:b/>
                <w:color w:val="FFFFFF"/>
                <w:sz w:val="19"/>
              </w:rPr>
              <w:t>Faza</w:t>
            </w:r>
          </w:p>
        </w:tc>
        <w:tc>
          <w:tcPr>
            <w:tcW w:type="dxa" w:w="2197"/>
            <w:shd w:val="clear" w:color="auto" w:fill="1f3864"/>
            <w:vAlign w:val="center"/>
          </w:tcPr>
          <w:p>
            <w:pPr>
              <w:spacing w:after="40" w:before="40"/>
              <w:jc w:val="center"/>
            </w:pPr>
            <w:r>
              <w:rPr>
                <w:b/>
                <w:color w:val="FFFFFF"/>
                <w:sz w:val="19"/>
              </w:rPr>
              <w:t>Plain (esp1)</w:t>
            </w:r>
          </w:p>
        </w:tc>
        <w:tc>
          <w:tcPr>
            <w:tcW w:type="dxa" w:w="2197"/>
            <w:shd w:val="clear" w:color="auto" w:fill="1f3864"/>
            <w:vAlign w:val="center"/>
          </w:tcPr>
          <w:p>
            <w:pPr>
              <w:spacing w:after="40" w:before="40"/>
              <w:jc w:val="center"/>
            </w:pPr>
            <w:r>
              <w:rPr>
                <w:b/>
                <w:color w:val="FFFFFF"/>
                <w:sz w:val="19"/>
              </w:rPr>
              <w:t>MQTTS (esp2)</w:t>
            </w:r>
          </w:p>
        </w:tc>
        <w:tc>
          <w:tcPr>
            <w:tcW w:type="dxa" w:w="2197"/>
            <w:shd w:val="clear" w:color="auto" w:fill="1f3864"/>
            <w:vAlign w:val="center"/>
          </w:tcPr>
          <w:p>
            <w:pPr>
              <w:spacing w:after="40" w:before="40"/>
              <w:jc w:val="center"/>
            </w:pPr>
            <w:r>
              <w:rPr>
                <w:b/>
                <w:color w:val="FFFFFF"/>
                <w:sz w:val="19"/>
              </w:rPr>
              <w:t>Razlika</w:t>
            </w:r>
          </w:p>
        </w:tc>
      </w:tr>
      <w:tr>
        <w:tc>
          <w:tcPr>
            <w:tcW w:type="dxa" w:w="2197"/>
            <w:vAlign w:val="center"/>
          </w:tcPr>
          <w:p>
            <w:pPr>
              <w:spacing w:after="20" w:before="20"/>
            </w:pPr>
            <w:r>
              <w:rPr>
                <w:b/>
                <w:sz w:val="19"/>
              </w:rPr>
              <w:t>entry (baseline posle Wi-Fi)</w:t>
            </w:r>
          </w:p>
        </w:tc>
        <w:tc>
          <w:tcPr>
            <w:tcW w:type="dxa" w:w="2197"/>
            <w:vAlign w:val="center"/>
          </w:tcPr>
          <w:p>
            <w:pPr>
              <w:spacing w:after="20" w:before="20"/>
            </w:pPr>
            <w:r>
              <w:rPr>
                <w:sz w:val="19"/>
              </w:rPr>
              <w:t>226 919 B (221,6 KB)</w:t>
            </w:r>
          </w:p>
        </w:tc>
        <w:tc>
          <w:tcPr>
            <w:tcW w:type="dxa" w:w="2197"/>
            <w:vAlign w:val="center"/>
          </w:tcPr>
          <w:p>
            <w:pPr>
              <w:spacing w:after="20" w:before="20"/>
            </w:pPr>
            <w:r>
              <w:rPr>
                <w:sz w:val="19"/>
              </w:rPr>
              <w:t>223 037 B (217,8 KB)</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pre_start (pre konekcije)</w:t>
            </w:r>
          </w:p>
        </w:tc>
        <w:tc>
          <w:tcPr>
            <w:tcW w:type="dxa" w:w="2197"/>
            <w:vAlign w:val="center"/>
          </w:tcPr>
          <w:p>
            <w:pPr>
              <w:spacing w:after="20" w:before="20"/>
            </w:pPr>
            <w:r>
              <w:rPr>
                <w:sz w:val="19"/>
              </w:rPr>
              <w:t>223 800 B (218,6 KB)</w:t>
            </w:r>
          </w:p>
        </w:tc>
        <w:tc>
          <w:tcPr>
            <w:tcW w:type="dxa" w:w="2197"/>
            <w:vAlign w:val="center"/>
          </w:tcPr>
          <w:p>
            <w:pPr>
              <w:spacing w:after="20" w:before="20"/>
            </w:pPr>
            <w:r>
              <w:rPr>
                <w:sz w:val="19"/>
              </w:rPr>
              <w:t>219 921 B (214,8 KB)</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connected (posle konekcije)</w:t>
            </w:r>
          </w:p>
        </w:tc>
        <w:tc>
          <w:tcPr>
            <w:tcW w:type="dxa" w:w="2197"/>
            <w:vAlign w:val="center"/>
          </w:tcPr>
          <w:p>
            <w:pPr>
              <w:spacing w:after="20" w:before="20"/>
            </w:pPr>
            <w:r>
              <w:rPr>
                <w:sz w:val="19"/>
              </w:rPr>
              <w:t>216 268 B (211,2 KB)</w:t>
            </w:r>
          </w:p>
        </w:tc>
        <w:tc>
          <w:tcPr>
            <w:tcW w:type="dxa" w:w="2197"/>
            <w:vAlign w:val="center"/>
          </w:tcPr>
          <w:p>
            <w:pPr>
              <w:spacing w:after="20" w:before="20"/>
            </w:pPr>
            <w:r>
              <w:rPr>
                <w:sz w:val="19"/>
              </w:rPr>
              <w:t>178 201 B (174,0 KB)</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zadržani = pre_start − connected</w:t>
            </w:r>
          </w:p>
        </w:tc>
        <w:tc>
          <w:tcPr>
            <w:tcW w:type="dxa" w:w="2197"/>
            <w:vAlign w:val="center"/>
          </w:tcPr>
          <w:p>
            <w:pPr>
              <w:spacing w:after="20" w:before="20"/>
            </w:pPr>
            <w:r>
              <w:rPr>
                <w:sz w:val="19"/>
              </w:rPr>
              <w:t>7 526 B (7,35 KB)</w:t>
            </w:r>
          </w:p>
        </w:tc>
        <w:tc>
          <w:tcPr>
            <w:tcW w:type="dxa" w:w="2197"/>
            <w:vAlign w:val="center"/>
          </w:tcPr>
          <w:p>
            <w:pPr>
              <w:spacing w:after="20" w:before="20"/>
            </w:pPr>
            <w:r>
              <w:rPr>
                <w:sz w:val="19"/>
              </w:rPr>
              <w:t>41 628 B (40,65 KB)</w:t>
            </w:r>
          </w:p>
        </w:tc>
        <w:tc>
          <w:tcPr>
            <w:tcW w:type="dxa" w:w="2197"/>
            <w:vAlign w:val="center"/>
          </w:tcPr>
          <w:p>
            <w:pPr>
              <w:spacing w:after="20" w:before="20"/>
            </w:pPr>
            <w:r>
              <w:rPr>
                <w:sz w:val="19"/>
              </w:rPr>
              <w:t>+33,3 KB</w:t>
            </w:r>
          </w:p>
        </w:tc>
      </w:tr>
      <w:tr>
        <w:tc>
          <w:tcPr>
            <w:tcW w:type="dxa" w:w="2197"/>
            <w:vAlign w:val="center"/>
          </w:tcPr>
          <w:p>
            <w:pPr>
              <w:spacing w:after="20" w:before="20"/>
            </w:pPr>
            <w:r>
              <w:rPr>
                <w:b/>
                <w:sz w:val="19"/>
              </w:rPr>
              <w:t>low_water_5s (kumulativni min)</w:t>
            </w:r>
          </w:p>
        </w:tc>
        <w:tc>
          <w:tcPr>
            <w:tcW w:type="dxa" w:w="2197"/>
            <w:vAlign w:val="center"/>
          </w:tcPr>
          <w:p>
            <w:pPr>
              <w:spacing w:after="20" w:before="20"/>
            </w:pPr>
            <w:r>
              <w:rPr>
                <w:sz w:val="19"/>
              </w:rPr>
              <w:t>174 100 B (170,0 KB)</w:t>
            </w:r>
          </w:p>
        </w:tc>
        <w:tc>
          <w:tcPr>
            <w:tcW w:type="dxa" w:w="2197"/>
            <w:vAlign w:val="center"/>
          </w:tcPr>
          <w:p>
            <w:pPr>
              <w:spacing w:after="20" w:before="20"/>
            </w:pPr>
            <w:r>
              <w:rPr>
                <w:sz w:val="19"/>
              </w:rPr>
              <w:t>135 507 B (132,3 KB)</w:t>
            </w:r>
          </w:p>
        </w:tc>
        <w:tc>
          <w:tcPr>
            <w:tcW w:type="dxa" w:w="2197"/>
            <w:vAlign w:val="center"/>
          </w:tcPr>
          <w:p>
            <w:pPr>
              <w:spacing w:after="20" w:before="20"/>
            </w:pPr>
            <w:r>
              <w:rPr>
                <w:sz w:val="19"/>
              </w:rPr>
              <w:t>gornja granica</w:t>
            </w:r>
          </w:p>
        </w:tc>
      </w:tr>
      <w:tr>
        <w:tc>
          <w:tcPr>
            <w:tcW w:type="dxa" w:w="2197"/>
            <w:vAlign w:val="center"/>
          </w:tcPr>
          <w:p>
            <w:pPr>
              <w:spacing w:after="20" w:before="20"/>
            </w:pPr>
            <w:r>
              <w:rPr>
                <w:b/>
                <w:sz w:val="19"/>
              </w:rPr>
              <w:t>najveći slobodan blok</w:t>
            </w:r>
          </w:p>
        </w:tc>
        <w:tc>
          <w:tcPr>
            <w:tcW w:type="dxa" w:w="2197"/>
            <w:vAlign w:val="center"/>
          </w:tcPr>
          <w:p>
            <w:pPr>
              <w:spacing w:after="20" w:before="20"/>
            </w:pPr>
            <w:r>
              <w:rPr>
                <w:sz w:val="19"/>
              </w:rPr>
              <w:t>110 592 B</w:t>
            </w:r>
          </w:p>
        </w:tc>
        <w:tc>
          <w:tcPr>
            <w:tcW w:type="dxa" w:w="2197"/>
            <w:vAlign w:val="center"/>
          </w:tcPr>
          <w:p>
            <w:pPr>
              <w:spacing w:after="20" w:before="20"/>
            </w:pPr>
            <w:r>
              <w:rPr>
                <w:sz w:val="19"/>
              </w:rPr>
              <w:t>110 592 B</w:t>
            </w:r>
          </w:p>
        </w:tc>
        <w:tc>
          <w:tcPr>
            <w:tcW w:type="dxa" w:w="2197"/>
            <w:vAlign w:val="center"/>
          </w:tcPr>
          <w:p>
            <w:pPr>
              <w:spacing w:after="20" w:before="20"/>
            </w:pPr>
            <w:r>
              <w:rPr>
                <w:sz w:val="19"/>
              </w:rPr>
              <w:t>nepromenjen</w:t>
            </w:r>
          </w:p>
        </w:tc>
      </w:tr>
    </w:tbl>
    <w:p>
      <w:pPr>
        <w:spacing w:before="80" w:after="80"/>
        <w:jc w:val="center"/>
        <w:keepNext/>
      </w:pPr>
      <w:r>
        <w:rPr>
          <w:b/>
          <w:i/>
          <w:sz w:val="19"/>
        </w:rPr>
        <w:t xml:space="preserve">Slika 2. </w:t>
      </w:r>
      <w:r>
        <w:rPr>
          <w:i/>
          <w:sz w:val="19"/>
        </w:rPr>
        <w:t>Zadržani heap: obični MQTT naspram MQTTS (TLS).</w:t>
      </w:r>
    </w:p>
    <w:p>
      <w:pPr>
        <w:spacing w:before="60" w:after="20"/>
      </w:pPr>
      <w:r>
        <w:rPr>
          <w:sz w:val="19"/>
        </w:rPr>
        <w:t xml:space="preserve">Plain (esp1, 1883):  </w:t>
      </w:r>
      <w:r>
        <w:rPr>
          <w:b/>
          <w:color w:val="2A78D6"/>
          <w:sz w:val="19"/>
        </w:rPr>
        <w:t>7.35 KB</w:t>
      </w:r>
    </w:p>
    <w:tbl>
      <w:tblPr>
        <w:tblW w:type="auto" w:w="0"/>
        <w:jc w:val="left"/>
        <w:tblLayout w:type="fixed"/>
        <w:tblLook w:firstColumn="1" w:firstRow="1" w:lastColumn="0" w:lastRow="0" w:noHBand="0" w:noVBand="1" w:val="04A0"/>
        <w:tblLayout w:type="fixed"/>
        <w:tblW w:w="1640" w:type="dxa"/>
      </w:tblPr>
      <w:tblGrid>
        <w:gridCol w:w="8788"/>
      </w:tblGrid>
      <w:tr>
        <w:trPr>
          <w:trHeight w:val="150" w:hRule="exact"/>
        </w:trPr>
        <w:tc>
          <w:tcPr>
            <w:tcW w:type="dxa" w:w="1640"/>
            <w:shd w:val="clear" w:color="auto" w:fill="2a78d6"/>
          </w:tcPr>
          <w:p>
            <w:pPr>
              <w:spacing w:after="0" w:before="0"/>
            </w:pPr>
          </w:p>
        </w:tc>
      </w:tr>
    </w:tbl>
    <w:p>
      <w:pPr>
        <w:spacing w:before="60" w:after="20"/>
      </w:pPr>
      <w:r>
        <w:rPr>
          <w:sz w:val="19"/>
        </w:rPr>
        <w:t xml:space="preserve">MQTTS (esp2, 8883):  </w:t>
      </w:r>
      <w:r>
        <w:rPr>
          <w:b/>
          <w:color w:val="EB6834"/>
          <w:sz w:val="19"/>
        </w:rPr>
        <w:t>40.65 KB</w:t>
      </w:r>
    </w:p>
    <w:tbl>
      <w:tblPr>
        <w:tblW w:type="auto" w:w="0"/>
        <w:jc w:val="left"/>
        <w:tblLayout w:type="fixed"/>
        <w:tblLook w:firstColumn="1" w:firstRow="1" w:lastColumn="0" w:lastRow="0" w:noHBand="0" w:noVBand="1" w:val="04A0"/>
        <w:tblLayout w:type="fixed"/>
        <w:tblW w:w="9072" w:type="dxa"/>
      </w:tblPr>
      <w:tblGrid>
        <w:gridCol w:w="8788"/>
      </w:tblGrid>
      <w:tr>
        <w:trPr>
          <w:trHeight w:val="150" w:hRule="exact"/>
        </w:trPr>
        <w:tc>
          <w:tcPr>
            <w:tcW w:type="dxa" w:w="9072"/>
            <w:shd w:val="clear" w:color="auto" w:fill="eb6834"/>
          </w:tcPr>
          <w:p>
            <w:pPr>
              <w:spacing w:after="0" w:before="0"/>
            </w:pPr>
          </w:p>
        </w:tc>
      </w:tr>
    </w:tbl>
    <w:p>
      <w:pPr>
        <w:spacing w:before="60"/>
      </w:pPr>
      <w:r>
        <w:rPr>
          <w:i/>
          <w:color w:val="52514E"/>
          <w:sz w:val="18"/>
        </w:rPr>
        <w:t>TLS trošak: +33,3 KB (≈ 15 % dostupnog heap-a posle Wi-Fi asocijacije).</w:t>
      </w:r>
    </w:p>
    <w:p>
      <w:r>
        <w:t xml:space="preserve">Razlika u zadržanom heap-u iznosi 41 628 − 7 526 = 34 102 B, odnosno približno </w:t>
      </w:r>
      <w:r>
        <w:rPr>
          <w:b/>
        </w:rPr>
        <w:t>33,3 KB</w:t>
      </w:r>
      <w:r>
        <w:t xml:space="preserve"> — to je neto memorijska cena TLS-a. Vrednost predstavlja oko 15 % dostupnog heap-a nakon inicijalizacije Wi-Fi steka (≈217 KB) i sastoji se pretežno od mbedTLS ulaznih i izlaznih bafera (</w:t>
      </w:r>
      <w:r>
        <w:rPr>
          <w:rFonts w:ascii="Consolas" w:hAnsi="Consolas"/>
          <w:sz w:val="21"/>
        </w:rPr>
        <w:t>IN_CONTENT_LEN=16384</w:t>
      </w:r>
      <w:r>
        <w:t xml:space="preserve"> i </w:t>
      </w:r>
      <w:r>
        <w:rPr>
          <w:rFonts w:ascii="Consolas" w:hAnsi="Consolas"/>
          <w:sz w:val="21"/>
        </w:rPr>
        <w:t>OUT_CONTENT_LEN=4096</w:t>
      </w:r>
      <w:r>
        <w:t xml:space="preserve"> bajtova), TLS sesijskog stanja i parsiranog lanca sertifikata. Uzorci su izrazito stabilni kroz svih 30 ciklusa, pa je razlika pouzdana. Posebno je značajno to da je najveći slobodan blok identičan na oba čvora (110 592 B): TLS, dakle, ne pogoršava fragmentaciju heap-a u ustaljenom stanju — njegov trošak je jednokratna „bulk” alokacija, a ne rascepkanost slobodnog prostora. Time se potvrđuje da MQTTS udobno staje na standardne ESP32 module bez PSRAM-a uz stalnu cenu od približno 33 KB.</w:t>
      </w:r>
    </w:p>
    <w:p>
      <w:pPr>
        <w:pStyle w:val="Heading2"/>
        <w:keepNext/>
      </w:pPr>
      <w:r>
        <w:t>Vreme povezivanja i TLS handshake</w:t>
      </w:r>
    </w:p>
    <w:p>
      <w:r>
        <w:t xml:space="preserve">Vreme povezivanja mereno je kao raspon </w:t>
      </w:r>
      <w:r>
        <w:rPr>
          <w:rFonts w:ascii="Consolas" w:hAnsi="Consolas"/>
          <w:sz w:val="21"/>
        </w:rPr>
        <w:t>connect_span = CONNECTED − BEFORE_CONNECT</w:t>
      </w:r>
      <w:r>
        <w:t>, koji obuhvata uspostavljanje TCP veze, TLS handshake (gde postoji) i MQTT razmenu CONNECT/CONNACK. Merenje je izvedeno kroz n=30 boot-ciklusa po čvoru.</w:t>
      </w:r>
    </w:p>
    <w:p>
      <w:pPr>
        <w:spacing w:before="80" w:after="80"/>
        <w:jc w:val="left"/>
        <w:keepNext/>
      </w:pPr>
      <w:r>
        <w:rPr>
          <w:b/>
          <w:i/>
          <w:sz w:val="19"/>
        </w:rPr>
        <w:t xml:space="preserve">Tabela 16. </w:t>
      </w:r>
      <w:r>
        <w:rPr>
          <w:i/>
          <w:sz w:val="19"/>
        </w:rPr>
        <w:t>Statistika vremena povezivanja / TLS handshake (n=30 po čvoru)</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shd w:val="clear" w:color="auto" w:fill="1f3864"/>
            <w:vAlign w:val="center"/>
          </w:tcPr>
          <w:p>
            <w:pPr>
              <w:spacing w:after="40" w:before="40"/>
              <w:jc w:val="center"/>
            </w:pPr>
            <w:r>
              <w:rPr>
                <w:b/>
                <w:color w:val="FFFFFF"/>
                <w:sz w:val="19"/>
              </w:rPr>
              <w:t>Statistika</w:t>
            </w:r>
          </w:p>
        </w:tc>
        <w:tc>
          <w:tcPr>
            <w:tcW w:type="dxa" w:w="2197"/>
            <w:shd w:val="clear" w:color="auto" w:fill="1f3864"/>
            <w:vAlign w:val="center"/>
          </w:tcPr>
          <w:p>
            <w:pPr>
              <w:spacing w:after="40" w:before="40"/>
              <w:jc w:val="center"/>
            </w:pPr>
            <w:r>
              <w:rPr>
                <w:b/>
                <w:color w:val="FFFFFF"/>
                <w:sz w:val="19"/>
              </w:rPr>
              <w:t>Plain (esp1)</w:t>
            </w:r>
          </w:p>
        </w:tc>
        <w:tc>
          <w:tcPr>
            <w:tcW w:type="dxa" w:w="2197"/>
            <w:shd w:val="clear" w:color="auto" w:fill="1f3864"/>
            <w:vAlign w:val="center"/>
          </w:tcPr>
          <w:p>
            <w:pPr>
              <w:spacing w:after="40" w:before="40"/>
              <w:jc w:val="center"/>
            </w:pPr>
            <w:r>
              <w:rPr>
                <w:b/>
                <w:color w:val="FFFFFF"/>
                <w:sz w:val="19"/>
              </w:rPr>
              <w:t>MQTTS (esp2)</w:t>
            </w:r>
          </w:p>
        </w:tc>
        <w:tc>
          <w:tcPr>
            <w:tcW w:type="dxa" w:w="2197"/>
            <w:shd w:val="clear" w:color="auto" w:fill="1f3864"/>
            <w:vAlign w:val="center"/>
          </w:tcPr>
          <w:p>
            <w:pPr>
              <w:spacing w:after="40" w:before="40"/>
              <w:jc w:val="center"/>
            </w:pPr>
            <w:r>
              <w:rPr>
                <w:b/>
                <w:color w:val="FFFFFF"/>
                <w:sz w:val="19"/>
              </w:rPr>
              <w:t>TLS trošak</w:t>
            </w:r>
          </w:p>
        </w:tc>
      </w:tr>
      <w:tr>
        <w:tc>
          <w:tcPr>
            <w:tcW w:type="dxa" w:w="2197"/>
            <w:vAlign w:val="center"/>
          </w:tcPr>
          <w:p>
            <w:pPr>
              <w:spacing w:after="20" w:before="20"/>
            </w:pPr>
            <w:r>
              <w:rPr>
                <w:b/>
                <w:sz w:val="19"/>
              </w:rPr>
              <w:t>n</w:t>
            </w:r>
          </w:p>
        </w:tc>
        <w:tc>
          <w:tcPr>
            <w:tcW w:type="dxa" w:w="2197"/>
            <w:vAlign w:val="center"/>
          </w:tcPr>
          <w:p>
            <w:pPr>
              <w:spacing w:after="20" w:before="20"/>
            </w:pPr>
            <w:r>
              <w:rPr>
                <w:sz w:val="19"/>
              </w:rPr>
              <w:t>30</w:t>
            </w:r>
          </w:p>
        </w:tc>
        <w:tc>
          <w:tcPr>
            <w:tcW w:type="dxa" w:w="2197"/>
            <w:vAlign w:val="center"/>
          </w:tcPr>
          <w:p>
            <w:pPr>
              <w:spacing w:after="20" w:before="20"/>
            </w:pPr>
            <w:r>
              <w:rPr>
                <w:sz w:val="19"/>
              </w:rPr>
              <w:t>30</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mean</w:t>
            </w:r>
          </w:p>
        </w:tc>
        <w:tc>
          <w:tcPr>
            <w:tcW w:type="dxa" w:w="2197"/>
            <w:vAlign w:val="center"/>
          </w:tcPr>
          <w:p>
            <w:pPr>
              <w:spacing w:after="20" w:before="20"/>
            </w:pPr>
            <w:r>
              <w:rPr>
                <w:sz w:val="19"/>
              </w:rPr>
              <w:t>161 ms</w:t>
            </w:r>
          </w:p>
        </w:tc>
        <w:tc>
          <w:tcPr>
            <w:tcW w:type="dxa" w:w="2197"/>
            <w:vAlign w:val="center"/>
          </w:tcPr>
          <w:p>
            <w:pPr>
              <w:spacing w:after="20" w:before="20"/>
            </w:pPr>
            <w:r>
              <w:rPr>
                <w:sz w:val="19"/>
              </w:rPr>
              <w:t>693 ms</w:t>
            </w:r>
          </w:p>
        </w:tc>
        <w:tc>
          <w:tcPr>
            <w:tcW w:type="dxa" w:w="2197"/>
            <w:vAlign w:val="center"/>
          </w:tcPr>
          <w:p>
            <w:pPr>
              <w:spacing w:after="20" w:before="20"/>
            </w:pPr>
            <w:r>
              <w:rPr>
                <w:sz w:val="19"/>
              </w:rPr>
              <w:t>+532 ms</w:t>
            </w:r>
          </w:p>
        </w:tc>
      </w:tr>
      <w:tr>
        <w:tc>
          <w:tcPr>
            <w:tcW w:type="dxa" w:w="2197"/>
            <w:vAlign w:val="center"/>
          </w:tcPr>
          <w:p>
            <w:pPr>
              <w:spacing w:after="20" w:before="20"/>
            </w:pPr>
            <w:r>
              <w:rPr>
                <w:b/>
                <w:sz w:val="19"/>
              </w:rPr>
              <w:t>median</w:t>
            </w:r>
          </w:p>
        </w:tc>
        <w:tc>
          <w:tcPr>
            <w:tcW w:type="dxa" w:w="2197"/>
            <w:vAlign w:val="center"/>
          </w:tcPr>
          <w:p>
            <w:pPr>
              <w:spacing w:after="20" w:before="20"/>
            </w:pPr>
            <w:r>
              <w:rPr>
                <w:sz w:val="19"/>
              </w:rPr>
              <w:t>56 ms</w:t>
            </w:r>
          </w:p>
        </w:tc>
        <w:tc>
          <w:tcPr>
            <w:tcW w:type="dxa" w:w="2197"/>
            <w:vAlign w:val="center"/>
          </w:tcPr>
          <w:p>
            <w:pPr>
              <w:spacing w:after="20" w:before="20"/>
            </w:pPr>
            <w:r>
              <w:rPr>
                <w:sz w:val="19"/>
              </w:rPr>
              <w:t>584 ms</w:t>
            </w:r>
          </w:p>
        </w:tc>
        <w:tc>
          <w:tcPr>
            <w:tcW w:type="dxa" w:w="2197"/>
            <w:vAlign w:val="center"/>
          </w:tcPr>
          <w:p>
            <w:pPr>
              <w:spacing w:after="20" w:before="20"/>
            </w:pPr>
            <w:r>
              <w:rPr>
                <w:sz w:val="19"/>
              </w:rPr>
              <w:t>+528 ms</w:t>
            </w:r>
          </w:p>
        </w:tc>
      </w:tr>
      <w:tr>
        <w:tc>
          <w:tcPr>
            <w:tcW w:type="dxa" w:w="2197"/>
            <w:vAlign w:val="center"/>
          </w:tcPr>
          <w:p>
            <w:pPr>
              <w:spacing w:after="20" w:before="20"/>
            </w:pPr>
            <w:r>
              <w:rPr>
                <w:b/>
                <w:sz w:val="19"/>
              </w:rPr>
              <w:t>p95</w:t>
            </w:r>
          </w:p>
        </w:tc>
        <w:tc>
          <w:tcPr>
            <w:tcW w:type="dxa" w:w="2197"/>
            <w:vAlign w:val="center"/>
          </w:tcPr>
          <w:p>
            <w:pPr>
              <w:spacing w:after="20" w:before="20"/>
            </w:pPr>
            <w:r>
              <w:rPr>
                <w:sz w:val="19"/>
              </w:rPr>
              <w:t>470 ms</w:t>
            </w:r>
          </w:p>
        </w:tc>
        <w:tc>
          <w:tcPr>
            <w:tcW w:type="dxa" w:w="2197"/>
            <w:vAlign w:val="center"/>
          </w:tcPr>
          <w:p>
            <w:pPr>
              <w:spacing w:after="20" w:before="20"/>
            </w:pPr>
            <w:r>
              <w:rPr>
                <w:sz w:val="19"/>
              </w:rPr>
              <w:t>1048 ms</w:t>
            </w:r>
          </w:p>
        </w:tc>
        <w:tc>
          <w:tcPr>
            <w:tcW w:type="dxa" w:w="2197"/>
            <w:vAlign w:val="center"/>
          </w:tcPr>
          <w:p>
            <w:pPr>
              <w:spacing w:after="20" w:before="20"/>
            </w:pPr>
            <w:r>
              <w:rPr>
                <w:sz w:val="19"/>
              </w:rPr>
              <w:t>+578 ms</w:t>
            </w:r>
          </w:p>
        </w:tc>
      </w:tr>
      <w:tr>
        <w:tc>
          <w:tcPr>
            <w:tcW w:type="dxa" w:w="2197"/>
            <w:vAlign w:val="center"/>
          </w:tcPr>
          <w:p>
            <w:pPr>
              <w:spacing w:after="20" w:before="20"/>
            </w:pPr>
            <w:r>
              <w:rPr>
                <w:b/>
                <w:sz w:val="19"/>
              </w:rPr>
              <w:t>min</w:t>
            </w:r>
          </w:p>
        </w:tc>
        <w:tc>
          <w:tcPr>
            <w:tcW w:type="dxa" w:w="2197"/>
            <w:vAlign w:val="center"/>
          </w:tcPr>
          <w:p>
            <w:pPr>
              <w:spacing w:after="20" w:before="20"/>
            </w:pPr>
            <w:r>
              <w:rPr>
                <w:sz w:val="19"/>
              </w:rPr>
              <w:t>34 ms</w:t>
            </w:r>
          </w:p>
        </w:tc>
        <w:tc>
          <w:tcPr>
            <w:tcW w:type="dxa" w:w="2197"/>
            <w:vAlign w:val="center"/>
          </w:tcPr>
          <w:p>
            <w:pPr>
              <w:spacing w:after="20" w:before="20"/>
            </w:pPr>
            <w:r>
              <w:rPr>
                <w:sz w:val="19"/>
              </w:rPr>
              <w:t>521 ms</w:t>
            </w:r>
          </w:p>
        </w:tc>
        <w:tc>
          <w:tcPr>
            <w:tcW w:type="dxa" w:w="2197"/>
            <w:vAlign w:val="center"/>
          </w:tcPr>
          <w:p>
            <w:pPr>
              <w:spacing w:after="20" w:before="20"/>
            </w:pPr>
            <w:r>
              <w:rPr>
                <w:sz w:val="19"/>
              </w:rPr>
              <w:t>+487 ms</w:t>
            </w:r>
          </w:p>
        </w:tc>
      </w:tr>
      <w:tr>
        <w:tc>
          <w:tcPr>
            <w:tcW w:type="dxa" w:w="2197"/>
            <w:vAlign w:val="center"/>
          </w:tcPr>
          <w:p>
            <w:pPr>
              <w:spacing w:after="20" w:before="20"/>
            </w:pPr>
            <w:r>
              <w:rPr>
                <w:b/>
                <w:sz w:val="19"/>
              </w:rPr>
              <w:t>max</w:t>
            </w:r>
          </w:p>
        </w:tc>
        <w:tc>
          <w:tcPr>
            <w:tcW w:type="dxa" w:w="2197"/>
            <w:vAlign w:val="center"/>
          </w:tcPr>
          <w:p>
            <w:pPr>
              <w:spacing w:after="20" w:before="20"/>
            </w:pPr>
            <w:r>
              <w:rPr>
                <w:sz w:val="19"/>
              </w:rPr>
              <w:t>1103 ms</w:t>
            </w:r>
          </w:p>
        </w:tc>
        <w:tc>
          <w:tcPr>
            <w:tcW w:type="dxa" w:w="2197"/>
            <w:vAlign w:val="center"/>
          </w:tcPr>
          <w:p>
            <w:pPr>
              <w:spacing w:after="20" w:before="20"/>
            </w:pPr>
            <w:r>
              <w:rPr>
                <w:sz w:val="19"/>
              </w:rPr>
              <w:t>1082 ms</w:t>
            </w:r>
          </w:p>
        </w:tc>
        <w:tc>
          <w:tcPr>
            <w:tcW w:type="dxa" w:w="2197"/>
            <w:vAlign w:val="center"/>
          </w:tcPr>
          <w:p>
            <w:pPr>
              <w:spacing w:after="20" w:before="20"/>
            </w:pPr>
            <w:r>
              <w:rPr>
                <w:sz w:val="19"/>
              </w:rPr>
              <w:t>—</w:t>
            </w:r>
          </w:p>
        </w:tc>
      </w:tr>
    </w:tbl>
    <w:p>
      <w:pPr>
        <w:spacing w:before="80" w:after="80"/>
        <w:jc w:val="center"/>
        <w:keepNext/>
      </w:pPr>
      <w:r>
        <w:rPr>
          <w:b/>
          <w:i/>
          <w:sz w:val="19"/>
        </w:rPr>
        <w:t xml:space="preserve">Slika 3. </w:t>
      </w:r>
      <w:r>
        <w:rPr>
          <w:i/>
          <w:sz w:val="19"/>
        </w:rPr>
        <w:t>Vreme handshake-a: obični MQTT naspram MQTTS (TLS).</w:t>
      </w:r>
    </w:p>
    <w:p>
      <w:pPr>
        <w:spacing w:before="60" w:after="20"/>
      </w:pPr>
      <w:r>
        <w:rPr>
          <w:sz w:val="19"/>
        </w:rPr>
        <w:t xml:space="preserve">Plain — median:  </w:t>
      </w:r>
      <w:r>
        <w:rPr>
          <w:b/>
          <w:color w:val="2A78D6"/>
          <w:sz w:val="19"/>
        </w:rPr>
        <w:t>56 ms</w:t>
      </w:r>
    </w:p>
    <w:tbl>
      <w:tblPr>
        <w:tblW w:type="auto" w:w="0"/>
        <w:jc w:val="left"/>
        <w:tblLayout w:type="fixed"/>
        <w:tblLook w:firstColumn="1" w:firstRow="1" w:lastColumn="0" w:lastRow="0" w:noHBand="0" w:noVBand="1" w:val="04A0"/>
        <w:tblLayout w:type="fixed"/>
        <w:tblW w:w="869" w:type="dxa"/>
      </w:tblPr>
      <w:tblGrid>
        <w:gridCol w:w="8788"/>
      </w:tblGrid>
      <w:tr>
        <w:trPr>
          <w:trHeight w:val="150" w:hRule="exact"/>
        </w:trPr>
        <w:tc>
          <w:tcPr>
            <w:tcW w:type="dxa" w:w="870"/>
            <w:shd w:val="clear" w:color="auto" w:fill="2a78d6"/>
          </w:tcPr>
          <w:p>
            <w:pPr>
              <w:spacing w:after="0" w:before="0"/>
            </w:pPr>
          </w:p>
        </w:tc>
      </w:tr>
    </w:tbl>
    <w:p>
      <w:pPr>
        <w:spacing w:before="60" w:after="20"/>
      </w:pPr>
      <w:r>
        <w:rPr>
          <w:sz w:val="19"/>
        </w:rPr>
        <w:t xml:space="preserve">MQTTS — median:  </w:t>
      </w:r>
      <w:r>
        <w:rPr>
          <w:b/>
          <w:color w:val="EB6834"/>
          <w:sz w:val="19"/>
        </w:rPr>
        <w:t>584 ms</w:t>
      </w:r>
    </w:p>
    <w:tbl>
      <w:tblPr>
        <w:tblW w:type="auto" w:w="0"/>
        <w:jc w:val="left"/>
        <w:tblLayout w:type="fixed"/>
        <w:tblLook w:firstColumn="1" w:firstRow="1" w:lastColumn="0" w:lastRow="0" w:noHBand="0" w:noVBand="1" w:val="04A0"/>
        <w:tblLayout w:type="fixed"/>
        <w:tblW w:w="9072" w:type="dxa"/>
      </w:tblPr>
      <w:tblGrid>
        <w:gridCol w:w="8788"/>
      </w:tblGrid>
      <w:tr>
        <w:trPr>
          <w:trHeight w:val="150" w:hRule="exact"/>
        </w:trPr>
        <w:tc>
          <w:tcPr>
            <w:tcW w:type="dxa" w:w="9072"/>
            <w:shd w:val="clear" w:color="auto" w:fill="eb6834"/>
          </w:tcPr>
          <w:p>
            <w:pPr>
              <w:spacing w:after="0" w:before="0"/>
            </w:pPr>
          </w:p>
        </w:tc>
      </w:tr>
    </w:tbl>
    <w:p>
      <w:pPr>
        <w:spacing w:before="60"/>
      </w:pPr>
      <w:r>
        <w:rPr>
          <w:i/>
          <w:color w:val="52514E"/>
          <w:sz w:val="18"/>
        </w:rPr>
        <w:t>Jednokratni trošak po povezivanju: +528 ms (median). p95: 470 ms plain, 1048 ms MQTTS.</w:t>
      </w:r>
    </w:p>
    <w:p>
      <w:r>
        <w:t xml:space="preserve">Kao reprezentativna vrednost koristi se medijana, jer obična konekcija ima veliku disperziju (medijana 56 ms naspram srednje vrednosti 161 ms i maksimuma 1103 ms) usled promenljive latencije koju unose Wi-Fi asocijacija, dodela adrese preko DHCP-a i autentifikacija na strani brokera (pbkdf2 heš uz poziv ka pozadinskom servisu Home Assistant-a). Ta latencija pogađa oba kanala podjednako, pa unakrsno oduzimanje ostaje validno: medijana-delta (528 ms) i srednja-delta (532 ms) se poklapaju jer se zajednička varijansa poništava. Robustan zaključak glasi da TLS handshake dodaje približno </w:t>
      </w:r>
      <w:r>
        <w:rPr>
          <w:b/>
        </w:rPr>
        <w:t>0,53 s</w:t>
      </w:r>
      <w:r>
        <w:t>.</w:t>
      </w:r>
    </w:p>
    <w:p>
      <w:r>
        <w:t xml:space="preserve">Presudno je da je ovaj trošak </w:t>
      </w:r>
      <w:r>
        <w:rPr>
          <w:b/>
        </w:rPr>
        <w:t>jednokratan</w:t>
      </w:r>
      <w:r>
        <w:t xml:space="preserve"> — plaća se pri svakom uspostavljanju veze (uključujući reconnect), a ne po poruci. Dominiraju ga ECDHE razmena ključeva, provera RSA-2048 potpisa servera i parsiranje lanca sertifikata; hardversko AES/SHA ubrzanje skraćuje simetrični deo, ali asimetrični deo ostaje glavni doprinos. Sve dok se MQTT sesija održava, handshake se ne ponavlja, te ovaj trošak ne ulazi u odziv po komandi, koji se analizira u nastavku poglavlja.</w:t>
      </w:r>
    </w:p>
    <w:p>
      <w:pPr>
        <w:pStyle w:val="Heading2"/>
        <w:keepNext/>
      </w:pPr>
      <w:r>
        <w:t>Mrežni overhead i dokaz enkripcije</w:t>
      </w:r>
    </w:p>
    <w:p>
      <w:r>
        <w:t xml:space="preserve">Mrežni saobraćaj snimljen je na brokeru (interfejs </w:t>
      </w:r>
      <w:r>
        <w:rPr>
          <w:rFonts w:ascii="Consolas" w:hAnsi="Consolas"/>
          <w:sz w:val="21"/>
        </w:rPr>
        <w:t>wlan0</w:t>
      </w:r>
      <w:r>
        <w:t>, alatom tcpdump), ukupno 126 paketa. Da bi poređenje bilo pošteno, isti PUBLISH — identičan topic (</w:t>
      </w:r>
      <w:r>
        <w:rPr>
          <w:rFonts w:ascii="Consolas" w:hAnsi="Consolas"/>
          <w:sz w:val="21"/>
        </w:rPr>
        <w:t>test/meas</w:t>
      </w:r>
      <w:r>
        <w:t>) i payload od 32 bajta — poslat je na oba kanala, pa se veličina na žici razlikuje isključivo zbog TLS okvira.</w:t>
      </w:r>
    </w:p>
    <w:p>
      <w:pPr>
        <w:spacing w:before="80" w:after="80"/>
        <w:jc w:val="left"/>
        <w:keepNext/>
      </w:pPr>
      <w:r>
        <w:rPr>
          <w:b/>
          <w:i/>
          <w:sz w:val="19"/>
        </w:rPr>
        <w:t xml:space="preserve">Tabela 17. </w:t>
      </w:r>
      <w:r>
        <w:rPr>
          <w:i/>
          <w:sz w:val="19"/>
        </w:rPr>
        <w:t>Mrežni overhead: uparen PUBLISH i ukupan saobraćaj sesije</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shd w:val="clear" w:color="auto" w:fill="1f3864"/>
            <w:vAlign w:val="center"/>
          </w:tcPr>
          <w:p>
            <w:pPr>
              <w:spacing w:after="40" w:before="40"/>
              <w:jc w:val="center"/>
            </w:pPr>
            <w:r>
              <w:rPr>
                <w:b/>
                <w:color w:val="FFFFFF"/>
                <w:sz w:val="19"/>
              </w:rPr>
              <w:t>Veličina</w:t>
            </w:r>
          </w:p>
        </w:tc>
        <w:tc>
          <w:tcPr>
            <w:tcW w:type="dxa" w:w="2197"/>
            <w:shd w:val="clear" w:color="auto" w:fill="1f3864"/>
            <w:vAlign w:val="center"/>
          </w:tcPr>
          <w:p>
            <w:pPr>
              <w:spacing w:after="40" w:before="40"/>
              <w:jc w:val="center"/>
            </w:pPr>
            <w:r>
              <w:rPr>
                <w:b/>
                <w:color w:val="FFFFFF"/>
                <w:sz w:val="19"/>
              </w:rPr>
              <w:t>Plain (1883)</w:t>
            </w:r>
          </w:p>
        </w:tc>
        <w:tc>
          <w:tcPr>
            <w:tcW w:type="dxa" w:w="2197"/>
            <w:shd w:val="clear" w:color="auto" w:fill="1f3864"/>
            <w:vAlign w:val="center"/>
          </w:tcPr>
          <w:p>
            <w:pPr>
              <w:spacing w:after="40" w:before="40"/>
              <w:jc w:val="center"/>
            </w:pPr>
            <w:r>
              <w:rPr>
                <w:b/>
                <w:color w:val="FFFFFF"/>
                <w:sz w:val="19"/>
              </w:rPr>
              <w:t>MQTTS (8883)</w:t>
            </w:r>
          </w:p>
        </w:tc>
        <w:tc>
          <w:tcPr>
            <w:tcW w:type="dxa" w:w="2197"/>
            <w:shd w:val="clear" w:color="auto" w:fill="1f3864"/>
            <w:vAlign w:val="center"/>
          </w:tcPr>
          <w:p>
            <w:pPr>
              <w:spacing w:after="40" w:before="40"/>
              <w:jc w:val="center"/>
            </w:pPr>
            <w:r>
              <w:rPr>
                <w:b/>
                <w:color w:val="FFFFFF"/>
                <w:sz w:val="19"/>
              </w:rPr>
              <w:t>Overhead</w:t>
            </w:r>
          </w:p>
        </w:tc>
      </w:tr>
      <w:tr>
        <w:tc>
          <w:tcPr>
            <w:tcW w:type="dxa" w:w="2197"/>
            <w:vAlign w:val="center"/>
          </w:tcPr>
          <w:p>
            <w:pPr>
              <w:spacing w:after="20" w:before="20"/>
            </w:pPr>
            <w:r>
              <w:rPr>
                <w:b/>
                <w:sz w:val="19"/>
              </w:rPr>
              <w:t>PUBLISH na žici (uparen)</w:t>
            </w:r>
          </w:p>
        </w:tc>
        <w:tc>
          <w:tcPr>
            <w:tcW w:type="dxa" w:w="2197"/>
            <w:vAlign w:val="center"/>
          </w:tcPr>
          <w:p>
            <w:pPr>
              <w:spacing w:after="20" w:before="20"/>
            </w:pPr>
            <w:r>
              <w:rPr>
                <w:sz w:val="19"/>
              </w:rPr>
              <w:t>45 B</w:t>
            </w:r>
          </w:p>
        </w:tc>
        <w:tc>
          <w:tcPr>
            <w:tcW w:type="dxa" w:w="2197"/>
            <w:vAlign w:val="center"/>
          </w:tcPr>
          <w:p>
            <w:pPr>
              <w:spacing w:after="20" w:before="20"/>
            </w:pPr>
            <w:r>
              <w:rPr>
                <w:sz w:val="19"/>
              </w:rPr>
              <w:t>74 B</w:t>
            </w:r>
          </w:p>
        </w:tc>
        <w:tc>
          <w:tcPr>
            <w:tcW w:type="dxa" w:w="2197"/>
            <w:vAlign w:val="center"/>
          </w:tcPr>
          <w:p>
            <w:pPr>
              <w:spacing w:after="20" w:before="20"/>
            </w:pPr>
            <w:r>
              <w:rPr>
                <w:sz w:val="19"/>
              </w:rPr>
              <w:t>+29 B (+64 %)</w:t>
            </w:r>
          </w:p>
        </w:tc>
      </w:tr>
      <w:tr>
        <w:tc>
          <w:tcPr>
            <w:tcW w:type="dxa" w:w="2197"/>
            <w:vAlign w:val="center"/>
          </w:tcPr>
          <w:p>
            <w:pPr>
              <w:spacing w:after="20" w:before="20"/>
            </w:pPr>
            <w:r>
              <w:rPr>
                <w:b/>
                <w:sz w:val="19"/>
              </w:rPr>
              <w:t>TLS handshake (jednokratno)</w:t>
            </w:r>
          </w:p>
        </w:tc>
        <w:tc>
          <w:tcPr>
            <w:tcW w:type="dxa" w:w="2197"/>
            <w:vAlign w:val="center"/>
          </w:tcPr>
          <w:p>
            <w:pPr>
              <w:spacing w:after="20" w:before="20"/>
            </w:pPr>
            <w:r>
              <w:rPr>
                <w:sz w:val="19"/>
              </w:rPr>
              <w:t>—</w:t>
            </w:r>
          </w:p>
        </w:tc>
        <w:tc>
          <w:tcPr>
            <w:tcW w:type="dxa" w:w="2197"/>
            <w:vAlign w:val="center"/>
          </w:tcPr>
          <w:p>
            <w:pPr>
              <w:spacing w:after="20" w:before="20"/>
            </w:pPr>
            <w:r>
              <w:rPr>
                <w:sz w:val="19"/>
              </w:rPr>
              <w:t>≈6 041 B (26 zapisa)</w:t>
            </w:r>
          </w:p>
        </w:tc>
        <w:tc>
          <w:tcPr>
            <w:tcW w:type="dxa" w:w="2197"/>
            <w:vAlign w:val="center"/>
          </w:tcPr>
          <w:p>
            <w:pPr>
              <w:spacing w:after="20" w:before="20"/>
            </w:pPr>
            <w:r>
              <w:rPr>
                <w:sz w:val="19"/>
              </w:rPr>
              <w:t>jednokratno</w:t>
            </w:r>
          </w:p>
        </w:tc>
      </w:tr>
      <w:tr>
        <w:tc>
          <w:tcPr>
            <w:tcW w:type="dxa" w:w="2197"/>
            <w:vAlign w:val="center"/>
          </w:tcPr>
          <w:p>
            <w:pPr>
              <w:spacing w:after="20" w:before="20"/>
            </w:pPr>
            <w:r>
              <w:rPr>
                <w:b/>
                <w:sz w:val="19"/>
              </w:rPr>
              <w:t>Saobraćaj sesije</w:t>
            </w:r>
          </w:p>
        </w:tc>
        <w:tc>
          <w:tcPr>
            <w:tcW w:type="dxa" w:w="2197"/>
            <w:vAlign w:val="center"/>
          </w:tcPr>
          <w:p>
            <w:pPr>
              <w:spacing w:after="20" w:before="20"/>
            </w:pPr>
            <w:r>
              <w:rPr>
                <w:sz w:val="19"/>
              </w:rPr>
              <w:t>3 370 B / 48 pkt</w:t>
            </w:r>
          </w:p>
        </w:tc>
        <w:tc>
          <w:tcPr>
            <w:tcW w:type="dxa" w:w="2197"/>
            <w:vAlign w:val="center"/>
          </w:tcPr>
          <w:p>
            <w:pPr>
              <w:spacing w:after="20" w:before="20"/>
            </w:pPr>
            <w:r>
              <w:rPr>
                <w:sz w:val="19"/>
              </w:rPr>
              <w:t>10 478 B / 78 pkt</w:t>
            </w:r>
          </w:p>
        </w:tc>
        <w:tc>
          <w:tcPr>
            <w:tcW w:type="dxa" w:w="2197"/>
            <w:vAlign w:val="center"/>
          </w:tcPr>
          <w:p>
            <w:pPr>
              <w:spacing w:after="20" w:before="20"/>
            </w:pPr>
            <w:r>
              <w:rPr>
                <w:sz w:val="19"/>
              </w:rPr>
              <w:t>≈3,1×</w:t>
            </w:r>
          </w:p>
        </w:tc>
      </w:tr>
      <w:tr>
        <w:tc>
          <w:tcPr>
            <w:tcW w:type="dxa" w:w="2197"/>
            <w:vAlign w:val="center"/>
          </w:tcPr>
          <w:p>
            <w:pPr>
              <w:spacing w:after="20" w:before="20"/>
            </w:pPr>
            <w:r>
              <w:rPr>
                <w:b/>
                <w:sz w:val="19"/>
              </w:rPr>
              <w:t>Samo uređaj</w:t>
            </w:r>
          </w:p>
        </w:tc>
        <w:tc>
          <w:tcPr>
            <w:tcW w:type="dxa" w:w="2197"/>
            <w:vAlign w:val="center"/>
          </w:tcPr>
          <w:p>
            <w:pPr>
              <w:spacing w:after="20" w:before="20"/>
            </w:pPr>
            <w:r>
              <w:rPr>
                <w:sz w:val="19"/>
              </w:rPr>
              <w:t>3 053 B</w:t>
            </w:r>
          </w:p>
        </w:tc>
        <w:tc>
          <w:tcPr>
            <w:tcW w:type="dxa" w:w="2197"/>
            <w:vAlign w:val="center"/>
          </w:tcPr>
          <w:p>
            <w:pPr>
              <w:spacing w:after="20" w:before="20"/>
            </w:pPr>
            <w:r>
              <w:rPr>
                <w:sz w:val="19"/>
              </w:rPr>
              <w:t>6 791 B</w:t>
            </w:r>
          </w:p>
        </w:tc>
        <w:tc>
          <w:tcPr>
            <w:tcW w:type="dxa" w:w="2197"/>
            <w:vAlign w:val="center"/>
          </w:tcPr>
          <w:p>
            <w:pPr>
              <w:spacing w:after="20" w:before="20"/>
            </w:pPr>
            <w:r>
              <w:rPr>
                <w:sz w:val="19"/>
              </w:rPr>
              <w:t>≈2,2×</w:t>
            </w:r>
          </w:p>
        </w:tc>
      </w:tr>
      <w:tr>
        <w:tc>
          <w:tcPr>
            <w:tcW w:type="dxa" w:w="2197"/>
            <w:vAlign w:val="center"/>
          </w:tcPr>
          <w:p>
            <w:pPr>
              <w:spacing w:after="20" w:before="20"/>
            </w:pPr>
            <w:r>
              <w:rPr>
                <w:b/>
                <w:sz w:val="19"/>
              </w:rPr>
              <w:t>Payload čitljiv?</w:t>
            </w:r>
          </w:p>
        </w:tc>
        <w:tc>
          <w:tcPr>
            <w:tcW w:type="dxa" w:w="2197"/>
            <w:vAlign w:val="center"/>
          </w:tcPr>
          <w:p>
            <w:pPr>
              <w:spacing w:after="20" w:before="20"/>
            </w:pPr>
            <w:r>
              <w:rPr>
                <w:sz w:val="19"/>
              </w:rPr>
              <w:t>DA (cleartext)</w:t>
            </w:r>
          </w:p>
        </w:tc>
        <w:tc>
          <w:tcPr>
            <w:tcW w:type="dxa" w:w="2197"/>
            <w:vAlign w:val="center"/>
          </w:tcPr>
          <w:p>
            <w:pPr>
              <w:spacing w:after="20" w:before="20"/>
            </w:pPr>
            <w:r>
              <w:rPr>
                <w:sz w:val="19"/>
              </w:rPr>
              <w:t>NE (opaque)</w:t>
            </w:r>
          </w:p>
        </w:tc>
        <w:tc>
          <w:tcPr>
            <w:tcW w:type="dxa" w:w="2197"/>
            <w:vAlign w:val="center"/>
          </w:tcPr>
          <w:p>
            <w:pPr>
              <w:spacing w:after="20" w:before="20"/>
            </w:pPr>
            <w:r>
              <w:rPr>
                <w:sz w:val="19"/>
              </w:rPr>
              <w:t>—</w:t>
            </w:r>
          </w:p>
        </w:tc>
      </w:tr>
    </w:tbl>
    <w:p>
      <w:pPr>
        <w:spacing w:before="80" w:after="80"/>
        <w:jc w:val="center"/>
        <w:keepNext/>
      </w:pPr>
      <w:r>
        <w:rPr>
          <w:b/>
          <w:i/>
          <w:sz w:val="19"/>
        </w:rPr>
        <w:t xml:space="preserve">Slika 4. </w:t>
      </w:r>
      <w:r>
        <w:rPr>
          <w:i/>
          <w:sz w:val="19"/>
        </w:rPr>
        <w:t>Veličina PUBLISH-a na žici: obični MQTT naspram MQTTS (TLS).</w:t>
      </w:r>
    </w:p>
    <w:p>
      <w:pPr>
        <w:spacing w:before="60" w:after="20"/>
      </w:pPr>
      <w:r>
        <w:rPr>
          <w:sz w:val="19"/>
        </w:rPr>
        <w:t xml:space="preserve">Plain (1883):  </w:t>
      </w:r>
      <w:r>
        <w:rPr>
          <w:b/>
          <w:color w:val="2A78D6"/>
          <w:sz w:val="19"/>
        </w:rPr>
        <w:t>45 B</w:t>
      </w:r>
    </w:p>
    <w:tbl>
      <w:tblPr>
        <w:tblW w:type="auto" w:w="0"/>
        <w:jc w:val="left"/>
        <w:tblLayout w:type="fixed"/>
        <w:tblLook w:firstColumn="1" w:firstRow="1" w:lastColumn="0" w:lastRow="0" w:noHBand="0" w:noVBand="1" w:val="04A0"/>
        <w:tblLayout w:type="fixed"/>
        <w:tblW w:w="5516" w:type="dxa"/>
      </w:tblPr>
      <w:tblGrid>
        <w:gridCol w:w="8788"/>
      </w:tblGrid>
      <w:tr>
        <w:trPr>
          <w:trHeight w:val="150" w:hRule="exact"/>
        </w:trPr>
        <w:tc>
          <w:tcPr>
            <w:tcW w:type="dxa" w:w="5517"/>
            <w:shd w:val="clear" w:color="auto" w:fill="2a78d6"/>
          </w:tcPr>
          <w:p>
            <w:pPr>
              <w:spacing w:after="0" w:before="0"/>
            </w:pPr>
          </w:p>
        </w:tc>
      </w:tr>
    </w:tbl>
    <w:p>
      <w:pPr>
        <w:spacing w:before="60" w:after="20"/>
      </w:pPr>
      <w:r>
        <w:rPr>
          <w:sz w:val="19"/>
        </w:rPr>
        <w:t xml:space="preserve">MQTTS (8883):  </w:t>
      </w:r>
      <w:r>
        <w:rPr>
          <w:b/>
          <w:color w:val="EB6834"/>
          <w:sz w:val="19"/>
        </w:rPr>
        <w:t>74 B</w:t>
      </w:r>
    </w:p>
    <w:tbl>
      <w:tblPr>
        <w:tblW w:type="auto" w:w="0"/>
        <w:jc w:val="left"/>
        <w:tblLayout w:type="fixed"/>
        <w:tblLook w:firstColumn="1" w:firstRow="1" w:lastColumn="0" w:lastRow="0" w:noHBand="0" w:noVBand="1" w:val="04A0"/>
        <w:tblLayout w:type="fixed"/>
        <w:tblW w:w="9072" w:type="dxa"/>
      </w:tblPr>
      <w:tblGrid>
        <w:gridCol w:w="8788"/>
      </w:tblGrid>
      <w:tr>
        <w:trPr>
          <w:trHeight w:val="150" w:hRule="exact"/>
        </w:trPr>
        <w:tc>
          <w:tcPr>
            <w:tcW w:type="dxa" w:w="9072"/>
            <w:shd w:val="clear" w:color="auto" w:fill="eb6834"/>
          </w:tcPr>
          <w:p>
            <w:pPr>
              <w:spacing w:after="0" w:before="0"/>
            </w:pPr>
          </w:p>
        </w:tc>
      </w:tr>
    </w:tbl>
    <w:p>
      <w:pPr>
        <w:spacing w:before="60"/>
      </w:pPr>
      <w:r>
        <w:rPr>
          <w:i/>
          <w:color w:val="52514E"/>
          <w:sz w:val="18"/>
        </w:rPr>
        <w:t>+29 B po PUBLISH-u = 5 B TLS record header + 8 B nonce + 16 B AES-GCM tag.</w:t>
      </w:r>
    </w:p>
    <w:p>
      <w:r>
        <w:t>Overhead po poruci od 29 bajtova (74 − 45) tačno odgovara okviru koji TLS 1.2 sa AES-GCM šifrom propisuje: 5 bajtova zaglavlja TLS zapisa, 8 bajtova eksplicitnog nonce-a i 16 bajtova AEAD (Authenticated Encryption with Associated Data) autentifikacionog taga. Za male IoT payload-e ovo je proporcionalno veliko (+64 %), ali apsolutno zanemarljivo — reč je o desetinama bajtova po poruci, i taj okvir je konstantan, ne raste s brojem poruka. Ukupan saobraćaj TLS sesije u snimku je oko 3,1 puta veći, ali najveći deo te razlike otpada na jednokratni handshake (≈6 041 B kroz 26 zapisa), a ne na po-poruci cenu.</w:t>
      </w:r>
    </w:p>
    <w:p>
      <w:pPr>
        <w:pStyle w:val="Heading3"/>
        <w:keepNext/>
      </w:pPr>
      <w:r>
        <w:t>Dokaz bezbednosti</w:t>
      </w:r>
    </w:p>
    <w:p>
      <w:r>
        <w:t>Najznačajniji nalaz mrežne analize nije kvantitativan nego kvalitativan i tiče se poverljivosti podataka. Rekonstrukcija toka „Follow TCP Stream” pokazuje da je na portu 1883 (obični MQTT) ceo razgovor čitljiv u čistom tekstu. U paketu CONNECT golim okom se vide klijentski identifikator, topici, payload-i i — kritično — MQTT kredencijali. Naredni isečak iz snimljenog CONNECT paketa (kontrolni znaci zamenjeni tačkom) otkriva korisničko ime i lozinku u čistom tekstu:</w:t>
      </w:r>
    </w:p>
    <w:tbl>
      <w:tblPr>
        <w:tblStyle w:val="TableGrid"/>
        <w:tblW w:type="auto" w:w="0"/>
        <w:jc w:val="center"/>
        <w:tblLayout w:type="fixed"/>
        <w:tblLook w:firstColumn="1" w:firstRow="1" w:lastColumn="0" w:lastRow="0" w:noHBand="0" w:noVBand="1" w:val="04A0"/>
        <w:tblLayout w:type="fixed"/>
        <w:tblW w:w="9072" w:type="dxa"/>
      </w:tblPr>
      <w:tblGrid>
        <w:gridCol w:w="8788"/>
      </w:tblGrid>
      <w:tr>
        <w:tc>
          <w:tcPr>
            <w:tcW w:type="dxa" w:w="8788"/>
            <w:shd w:val="clear" w:color="auto" w:fill="f2f1ec"/>
          </w:tcPr>
          <w:p>
            <w:pPr>
              <w:spacing w:after="40" w:before="40"/>
            </w:pPr>
            <w:r>
              <w:rPr>
                <w:rFonts w:ascii="Consolas" w:hAnsi="Consolas"/>
                <w:sz w:val="18"/>
              </w:rPr>
              <w:t>....MQTT....ESP32_02F600..home/lights/status..offline..homeuser..N7kQ2pX9</w:t>
              <w:br/>
            </w:r>
            <w:r>
              <w:rPr>
                <w:rFonts w:ascii="Consolas" w:hAnsi="Consolas"/>
                <w:sz w:val="18"/>
              </w:rPr>
              <w:t xml:space="preserve">                                                        ^^^^^^^^   ^^^^^^^^</w:t>
              <w:br/>
            </w:r>
            <w:r>
              <w:rPr>
                <w:rFonts w:ascii="Consolas" w:hAnsi="Consolas"/>
                <w:sz w:val="18"/>
              </w:rPr>
              <w:t xml:space="preserve">                                              korisnicko ime + lozinka (cist tekst)</w:t>
            </w:r>
          </w:p>
        </w:tc>
      </w:tr>
    </w:tbl>
    <w:p>
      <w:r>
        <w:t>Vizuelni dokaz pruža rekonstrukcija Wireshark pogleda na saobraćaj porta 1883, gde su svi tokeni čitljivi, kao što prikazuje naredni grafikon.</w:t>
      </w:r>
    </w:p>
    <w:p>
      <w:pPr>
        <w:spacing w:before="80" w:after="80"/>
        <w:jc w:val="left"/>
        <w:keepNext/>
      </w:pPr>
      <w:r>
        <w:rPr>
          <w:b/>
          <w:i/>
          <w:sz w:val="19"/>
        </w:rPr>
        <w:t xml:space="preserve">Tabela 18. </w:t>
      </w:r>
      <w:r>
        <w:rPr>
          <w:i/>
          <w:sz w:val="19"/>
        </w:rPr>
        <w:t>Follow TCP Stream na portu 1883: čitljiv MQTT sa kredencijalima u čistom tekstu.</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Aspekt</w:t>
            </w:r>
          </w:p>
        </w:tc>
        <w:tc>
          <w:tcPr>
            <w:tcW w:type="dxa" w:w="2929"/>
            <w:shd w:val="clear" w:color="auto" w:fill="1f3864"/>
            <w:vAlign w:val="center"/>
          </w:tcPr>
          <w:p>
            <w:pPr>
              <w:spacing w:after="40" w:before="40"/>
              <w:jc w:val="center"/>
            </w:pPr>
            <w:r>
              <w:rPr>
                <w:b/>
                <w:color w:val="FFFFFF"/>
                <w:sz w:val="19"/>
              </w:rPr>
              <w:t>Plain (1883)</w:t>
            </w:r>
          </w:p>
        </w:tc>
        <w:tc>
          <w:tcPr>
            <w:tcW w:type="dxa" w:w="2929"/>
            <w:shd w:val="clear" w:color="auto" w:fill="1f3864"/>
            <w:vAlign w:val="center"/>
          </w:tcPr>
          <w:p>
            <w:pPr>
              <w:spacing w:after="40" w:before="40"/>
              <w:jc w:val="center"/>
            </w:pPr>
            <w:r>
              <w:rPr>
                <w:b/>
                <w:color w:val="FFFFFF"/>
                <w:sz w:val="19"/>
              </w:rPr>
              <w:t>MQTTS (8883)</w:t>
            </w:r>
          </w:p>
        </w:tc>
      </w:tr>
      <w:tr>
        <w:tc>
          <w:tcPr>
            <w:tcW w:type="dxa" w:w="2929"/>
            <w:vAlign w:val="center"/>
          </w:tcPr>
          <w:p>
            <w:pPr>
              <w:spacing w:after="20" w:before="20"/>
            </w:pPr>
            <w:r>
              <w:rPr>
                <w:b/>
                <w:sz w:val="19"/>
              </w:rPr>
              <w:t>Kredencijali (</w:t>
            </w:r>
            <w:r>
              <w:rPr>
                <w:rFonts w:ascii="Consolas" w:hAnsi="Consolas"/>
                <w:b/>
                <w:sz w:val="19"/>
              </w:rPr>
              <w:t>homeuser</w:t>
            </w:r>
            <w:r>
              <w:rPr>
                <w:b/>
                <w:sz w:val="19"/>
              </w:rPr>
              <w:t xml:space="preserve"> / </w:t>
            </w:r>
            <w:r>
              <w:rPr>
                <w:rFonts w:ascii="Consolas" w:hAnsi="Consolas"/>
                <w:b/>
                <w:sz w:val="19"/>
              </w:rPr>
              <w:t>N7kQ2pX9</w:t>
            </w:r>
            <w:r>
              <w:rPr>
                <w:b/>
                <w:sz w:val="19"/>
              </w:rPr>
              <w:t>)</w:t>
            </w:r>
          </w:p>
        </w:tc>
        <w:tc>
          <w:tcPr>
            <w:tcW w:type="dxa" w:w="2929"/>
            <w:vAlign w:val="center"/>
          </w:tcPr>
          <w:p>
            <w:pPr>
              <w:spacing w:after="20" w:before="20"/>
            </w:pPr>
            <w:r>
              <w:rPr>
                <w:sz w:val="19"/>
              </w:rPr>
              <w:t>čitljivi u čistom tekstu</w:t>
            </w:r>
          </w:p>
        </w:tc>
        <w:tc>
          <w:tcPr>
            <w:tcW w:type="dxa" w:w="2929"/>
            <w:vAlign w:val="center"/>
          </w:tcPr>
          <w:p>
            <w:pPr>
              <w:spacing w:after="20" w:before="20"/>
            </w:pPr>
            <w:r>
              <w:rPr>
                <w:sz w:val="19"/>
              </w:rPr>
              <w:t>Neprozirni (enkriptovani)</w:t>
            </w:r>
          </w:p>
        </w:tc>
      </w:tr>
      <w:tr>
        <w:tc>
          <w:tcPr>
            <w:tcW w:type="dxa" w:w="2929"/>
            <w:vAlign w:val="center"/>
          </w:tcPr>
          <w:p>
            <w:pPr>
              <w:spacing w:after="20" w:before="20"/>
            </w:pPr>
            <w:r>
              <w:rPr>
                <w:b/>
                <w:sz w:val="19"/>
              </w:rPr>
              <w:t>Topici i payload-i</w:t>
            </w:r>
          </w:p>
        </w:tc>
        <w:tc>
          <w:tcPr>
            <w:tcW w:type="dxa" w:w="2929"/>
            <w:vAlign w:val="center"/>
          </w:tcPr>
          <w:p>
            <w:pPr>
              <w:spacing w:after="20" w:before="20"/>
            </w:pPr>
            <w:r>
              <w:rPr>
                <w:sz w:val="19"/>
              </w:rPr>
              <w:t>čitljivi</w:t>
            </w:r>
          </w:p>
        </w:tc>
        <w:tc>
          <w:tcPr>
            <w:tcW w:type="dxa" w:w="2929"/>
            <w:vAlign w:val="center"/>
          </w:tcPr>
          <w:p>
            <w:pPr>
              <w:spacing w:after="20" w:before="20"/>
            </w:pPr>
            <w:r>
              <w:rPr>
                <w:sz w:val="19"/>
              </w:rPr>
              <w:t>Neprozirni</w:t>
            </w:r>
          </w:p>
        </w:tc>
      </w:tr>
      <w:tr>
        <w:tc>
          <w:tcPr>
            <w:tcW w:type="dxa" w:w="2929"/>
            <w:vAlign w:val="center"/>
          </w:tcPr>
          <w:p>
            <w:pPr>
              <w:spacing w:after="20" w:before="20"/>
            </w:pPr>
            <w:r>
              <w:rPr>
                <w:b/>
                <w:sz w:val="19"/>
              </w:rPr>
              <w:t>Format na žici</w:t>
            </w:r>
          </w:p>
        </w:tc>
        <w:tc>
          <w:tcPr>
            <w:tcW w:type="dxa" w:w="2929"/>
            <w:vAlign w:val="center"/>
          </w:tcPr>
          <w:p>
            <w:pPr>
              <w:spacing w:after="20" w:before="20"/>
            </w:pPr>
            <w:r>
              <w:rPr>
                <w:sz w:val="19"/>
              </w:rPr>
              <w:t>MQTT (cleartext)</w:t>
            </w:r>
          </w:p>
        </w:tc>
        <w:tc>
          <w:tcPr>
            <w:tcW w:type="dxa" w:w="2929"/>
            <w:vAlign w:val="center"/>
          </w:tcPr>
          <w:p>
            <w:pPr>
              <w:spacing w:after="20" w:before="20"/>
            </w:pPr>
            <w:r>
              <w:rPr>
                <w:sz w:val="19"/>
              </w:rPr>
              <w:t>TLS Application Data</w:t>
            </w:r>
          </w:p>
        </w:tc>
      </w:tr>
      <w:tr>
        <w:tc>
          <w:tcPr>
            <w:tcW w:type="dxa" w:w="2929"/>
            <w:vAlign w:val="center"/>
          </w:tcPr>
          <w:p>
            <w:pPr>
              <w:spacing w:after="20" w:before="20"/>
            </w:pPr>
            <w:r>
              <w:rPr>
                <w:b/>
                <w:sz w:val="19"/>
              </w:rPr>
              <w:t>Pasivno prisluškivanje</w:t>
            </w:r>
          </w:p>
        </w:tc>
        <w:tc>
          <w:tcPr>
            <w:tcW w:type="dxa" w:w="2929"/>
            <w:vAlign w:val="center"/>
          </w:tcPr>
          <w:p>
            <w:pPr>
              <w:spacing w:after="20" w:before="20"/>
            </w:pPr>
            <w:r>
              <w:rPr>
                <w:sz w:val="19"/>
              </w:rPr>
              <w:t>Visok rizik — preuzimanje kontrole</w:t>
            </w:r>
          </w:p>
        </w:tc>
        <w:tc>
          <w:tcPr>
            <w:tcW w:type="dxa" w:w="2929"/>
            <w:vAlign w:val="center"/>
          </w:tcPr>
          <w:p>
            <w:pPr>
              <w:spacing w:after="20" w:before="20"/>
            </w:pPr>
            <w:r>
              <w:rPr>
                <w:sz w:val="19"/>
              </w:rPr>
              <w:t>Eliminisan</w:t>
            </w:r>
          </w:p>
        </w:tc>
      </w:tr>
    </w:tbl>
    <w:p>
      <w:r>
        <w:t>Nasuprot tome, isti pogled na port 8883 (MQTTS), nakon handshake-a, sadrži isključivo TLS zapise tipa Application Data — 25 zapisa, nula čitljivih MQTT tokena i nula plaintext curenja. Kredencijali, topici i payload-i su enkriptovani algoritmom AES-256-GCM i za pasivnog posmatrača ostaju potpuno neprozirni, što prikazuje sledeći grafikon.</w:t>
      </w:r>
    </w:p>
    <w:p>
      <w:r>
        <w:t xml:space="preserve">Pregovoreni bezbednosni parametri potvrđeni su iz dva nezavisna izvora — dissection-a paketa ServerHello u Wireshark-u i loga samog brokera. Oba potvrđuju TLS 1.2 i cipher ECDHE-RSA-AES256-GCM-SHA384, odnosno razmenu ključeva ECDHE sa svojstvom forward secrecy, autentifikaciju servera preko RSA-2048 sertifikata (pun lanac verifikovan, </w:t>
      </w:r>
      <w:r>
        <w:rPr>
          <w:rFonts w:ascii="Consolas" w:hAnsi="Consolas"/>
          <w:sz w:val="21"/>
        </w:rPr>
        <w:t>Verify return code: 0</w:t>
      </w:r>
      <w:r>
        <w:t>), simetričnu šifru AES-256-GCM i integritet zasnovan na SHA-384. Naredni grafikon prikazuje polja paketa ServerHello sa pregovorenim cipher suite-om.</w:t>
      </w:r>
    </w:p>
    <w:p>
      <w:pPr>
        <w:spacing w:before="80" w:after="80"/>
        <w:jc w:val="left"/>
        <w:keepNext/>
      </w:pPr>
      <w:r>
        <w:rPr>
          <w:b/>
          <w:i/>
          <w:sz w:val="19"/>
        </w:rPr>
        <w:t xml:space="preserve">Tabela 19. </w:t>
      </w:r>
      <w:r>
        <w:rPr>
          <w:i/>
          <w:sz w:val="19"/>
        </w:rPr>
        <w:t>Detalji paketa TLS ServerHello: verzija protokola i pregovoreni cipher suite.</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shd w:val="clear" w:color="auto" w:fill="1f3864"/>
            <w:vAlign w:val="center"/>
          </w:tcPr>
          <w:p>
            <w:pPr>
              <w:spacing w:after="40" w:before="40"/>
              <w:jc w:val="center"/>
            </w:pPr>
            <w:r>
              <w:rPr>
                <w:b/>
                <w:color w:val="FFFFFF"/>
                <w:sz w:val="19"/>
              </w:rPr>
              <w:t>Polje</w:t>
            </w:r>
          </w:p>
        </w:tc>
        <w:tc>
          <w:tcPr>
            <w:tcW w:type="dxa" w:w="4394"/>
            <w:shd w:val="clear" w:color="auto" w:fill="1f3864"/>
            <w:vAlign w:val="center"/>
          </w:tcPr>
          <w:p>
            <w:pPr>
              <w:spacing w:after="40" w:before="40"/>
              <w:jc w:val="center"/>
            </w:pPr>
            <w:r>
              <w:rPr>
                <w:b/>
                <w:color w:val="FFFFFF"/>
                <w:sz w:val="19"/>
              </w:rPr>
              <w:t>Vrednost</w:t>
            </w:r>
          </w:p>
        </w:tc>
      </w:tr>
      <w:tr>
        <w:tc>
          <w:tcPr>
            <w:tcW w:type="dxa" w:w="4394"/>
            <w:vAlign w:val="center"/>
          </w:tcPr>
          <w:p>
            <w:pPr>
              <w:spacing w:after="20" w:before="20"/>
            </w:pPr>
            <w:r>
              <w:rPr>
                <w:b/>
                <w:sz w:val="19"/>
              </w:rPr>
              <w:t>TLS verzija</w:t>
            </w:r>
          </w:p>
        </w:tc>
        <w:tc>
          <w:tcPr>
            <w:tcW w:type="dxa" w:w="4394"/>
            <w:vAlign w:val="center"/>
          </w:tcPr>
          <w:p>
            <w:pPr>
              <w:spacing w:after="20" w:before="20"/>
            </w:pPr>
            <w:r>
              <w:rPr>
                <w:sz w:val="19"/>
              </w:rPr>
              <w:t>TLSv1.2</w:t>
            </w:r>
          </w:p>
        </w:tc>
      </w:tr>
      <w:tr>
        <w:tc>
          <w:tcPr>
            <w:tcW w:type="dxa" w:w="4394"/>
            <w:vAlign w:val="center"/>
          </w:tcPr>
          <w:p>
            <w:pPr>
              <w:spacing w:after="20" w:before="20"/>
            </w:pPr>
            <w:r>
              <w:rPr>
                <w:b/>
                <w:sz w:val="19"/>
              </w:rPr>
              <w:t>Cipher suite</w:t>
            </w:r>
          </w:p>
        </w:tc>
        <w:tc>
          <w:tcPr>
            <w:tcW w:type="dxa" w:w="4394"/>
            <w:vAlign w:val="center"/>
          </w:tcPr>
          <w:p>
            <w:pPr>
              <w:spacing w:after="20" w:before="20"/>
            </w:pPr>
            <w:r>
              <w:rPr>
                <w:rFonts w:ascii="Consolas" w:hAnsi="Consolas"/>
                <w:sz w:val="19"/>
              </w:rPr>
              <w:t>ECDHE-RSA-AES256-GCM-SHA384</w:t>
            </w:r>
          </w:p>
        </w:tc>
      </w:tr>
      <w:tr>
        <w:tc>
          <w:tcPr>
            <w:tcW w:type="dxa" w:w="4394"/>
            <w:vAlign w:val="center"/>
          </w:tcPr>
          <w:p>
            <w:pPr>
              <w:spacing w:after="20" w:before="20"/>
            </w:pPr>
            <w:r>
              <w:rPr>
                <w:b/>
                <w:sz w:val="19"/>
              </w:rPr>
              <w:t>Razmena ključeva</w:t>
            </w:r>
          </w:p>
        </w:tc>
        <w:tc>
          <w:tcPr>
            <w:tcW w:type="dxa" w:w="4394"/>
            <w:vAlign w:val="center"/>
          </w:tcPr>
          <w:p>
            <w:pPr>
              <w:spacing w:after="20" w:before="20"/>
            </w:pPr>
            <w:r>
              <w:rPr>
                <w:sz w:val="19"/>
              </w:rPr>
              <w:t>ECDHE (forward secrecy)</w:t>
            </w:r>
          </w:p>
        </w:tc>
      </w:tr>
      <w:tr>
        <w:tc>
          <w:tcPr>
            <w:tcW w:type="dxa" w:w="4394"/>
            <w:vAlign w:val="center"/>
          </w:tcPr>
          <w:p>
            <w:pPr>
              <w:spacing w:after="20" w:before="20"/>
            </w:pPr>
            <w:r>
              <w:rPr>
                <w:b/>
                <w:sz w:val="19"/>
              </w:rPr>
              <w:t>Autentifikacija servera</w:t>
            </w:r>
          </w:p>
        </w:tc>
        <w:tc>
          <w:tcPr>
            <w:tcW w:type="dxa" w:w="4394"/>
            <w:vAlign w:val="center"/>
          </w:tcPr>
          <w:p>
            <w:pPr>
              <w:spacing w:after="20" w:before="20"/>
            </w:pPr>
            <w:r>
              <w:rPr>
                <w:sz w:val="19"/>
              </w:rPr>
              <w:t>RSA-2048</w:t>
            </w:r>
          </w:p>
        </w:tc>
      </w:tr>
      <w:tr>
        <w:tc>
          <w:tcPr>
            <w:tcW w:type="dxa" w:w="4394"/>
            <w:vAlign w:val="center"/>
          </w:tcPr>
          <w:p>
            <w:pPr>
              <w:spacing w:after="20" w:before="20"/>
            </w:pPr>
            <w:r>
              <w:rPr>
                <w:b/>
                <w:sz w:val="19"/>
              </w:rPr>
              <w:t>Simetrična enkripcija</w:t>
            </w:r>
          </w:p>
        </w:tc>
        <w:tc>
          <w:tcPr>
            <w:tcW w:type="dxa" w:w="4394"/>
            <w:vAlign w:val="center"/>
          </w:tcPr>
          <w:p>
            <w:pPr>
              <w:spacing w:after="20" w:before="20"/>
            </w:pPr>
            <w:r>
              <w:rPr>
                <w:sz w:val="19"/>
              </w:rPr>
              <w:t>AES-256-GCM (AEAD)</w:t>
            </w:r>
          </w:p>
        </w:tc>
      </w:tr>
      <w:tr>
        <w:tc>
          <w:tcPr>
            <w:tcW w:type="dxa" w:w="4394"/>
            <w:vAlign w:val="center"/>
          </w:tcPr>
          <w:p>
            <w:pPr>
              <w:spacing w:after="20" w:before="20"/>
            </w:pPr>
            <w:r>
              <w:rPr>
                <w:b/>
                <w:sz w:val="19"/>
              </w:rPr>
              <w:t>Verifikacija lanca</w:t>
            </w:r>
          </w:p>
        </w:tc>
        <w:tc>
          <w:tcPr>
            <w:tcW w:type="dxa" w:w="4394"/>
            <w:vAlign w:val="center"/>
          </w:tcPr>
          <w:p>
            <w:pPr>
              <w:spacing w:after="20" w:before="20"/>
            </w:pPr>
            <w:r>
              <w:rPr>
                <w:sz w:val="19"/>
              </w:rPr>
              <w:t>Verify return code: 0</w:t>
            </w:r>
          </w:p>
        </w:tc>
      </w:tr>
    </w:tbl>
    <w:p>
      <w:r>
        <w:t xml:space="preserve">Reč je o konkretnoj, izmerenoj — a ne teorijskoj — ranjivosti običnog MQTT-a: bilo ko sa pristupom mreži može pasivnim snimanjem pročitati kredencijale </w:t>
      </w:r>
      <w:r>
        <w:rPr>
          <w:rFonts w:ascii="Consolas" w:hAnsi="Consolas"/>
          <w:sz w:val="21"/>
        </w:rPr>
        <w:t>homeuser</w:t>
      </w:r>
      <w:r>
        <w:t>/</w:t>
      </w:r>
      <w:r>
        <w:rPr>
          <w:rFonts w:ascii="Consolas" w:hAnsi="Consolas"/>
          <w:sz w:val="21"/>
        </w:rPr>
        <w:t>N7kQ2pX9</w:t>
      </w:r>
      <w:r>
        <w:t xml:space="preserve"> i preuzeti potpunu kontrolu nad sistemom, budući da su i svi komandni topici vidljivi. MQTTS ovu ranjivost u potpunosti eliminiše, što i jeste suštinski razlog uvođenja sloja bezbednosti.</w:t>
      </w:r>
    </w:p>
    <w:p>
      <w:pPr>
        <w:pStyle w:val="Heading2"/>
        <w:keepNext/>
      </w:pPr>
      <w:r>
        <w:t>End-to-end command RTT</w:t>
      </w:r>
    </w:p>
    <w:p>
      <w:r>
        <w:t xml:space="preserve">Odziv sistema po komandi meren je kao vreme kruženja (Round-Trip Time, RTT) od objave komande na topic </w:t>
      </w:r>
      <w:r>
        <w:rPr>
          <w:rFonts w:ascii="Consolas" w:hAnsi="Consolas"/>
          <w:sz w:val="21"/>
        </w:rPr>
        <w:t>.../set</w:t>
      </w:r>
      <w:r>
        <w:t xml:space="preserve"> do prijema povratne potvrde stanja na topic </w:t>
      </w:r>
      <w:r>
        <w:rPr>
          <w:rFonts w:ascii="Consolas" w:hAnsi="Consolas"/>
          <w:sz w:val="21"/>
        </w:rPr>
        <w:t>.../state</w:t>
      </w:r>
      <w:r>
        <w:t>, jednim satom visoke rezolucije (</w:t>
      </w:r>
      <w:r>
        <w:rPr>
          <w:rFonts w:ascii="Consolas" w:hAnsi="Consolas"/>
          <w:sz w:val="21"/>
        </w:rPr>
        <w:t>perf_counter</w:t>
      </w:r>
      <w:r>
        <w:t>), kroz n=100 uzoraka po kanalu i bez ijednog izgubljenog uzorka. Ovo je metrika na koju se hipoteza direktno odnosi.</w:t>
      </w:r>
    </w:p>
    <w:p>
      <w:pPr>
        <w:spacing w:before="80" w:after="80"/>
        <w:jc w:val="left"/>
        <w:keepNext/>
      </w:pPr>
      <w:r>
        <w:rPr>
          <w:b/>
          <w:i/>
          <w:sz w:val="19"/>
        </w:rPr>
        <w:t xml:space="preserve">Tabela 20. </w:t>
      </w:r>
      <w:r>
        <w:rPr>
          <w:i/>
          <w:sz w:val="19"/>
        </w:rPr>
        <w:t>End-to-end command RTT, set→state echo (n=100 po kanalu)</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shd w:val="clear" w:color="auto" w:fill="1f3864"/>
            <w:vAlign w:val="center"/>
          </w:tcPr>
          <w:p>
            <w:pPr>
              <w:spacing w:after="40" w:before="40"/>
              <w:jc w:val="center"/>
            </w:pPr>
            <w:r>
              <w:rPr>
                <w:b/>
                <w:color w:val="FFFFFF"/>
                <w:sz w:val="19"/>
              </w:rPr>
              <w:t>Statistika</w:t>
            </w:r>
          </w:p>
        </w:tc>
        <w:tc>
          <w:tcPr>
            <w:tcW w:type="dxa" w:w="2197"/>
            <w:shd w:val="clear" w:color="auto" w:fill="1f3864"/>
            <w:vAlign w:val="center"/>
          </w:tcPr>
          <w:p>
            <w:pPr>
              <w:spacing w:after="40" w:before="40"/>
              <w:jc w:val="center"/>
            </w:pPr>
            <w:r>
              <w:rPr>
                <w:b/>
                <w:color w:val="FFFFFF"/>
                <w:sz w:val="19"/>
              </w:rPr>
              <w:t>Plain (1883)</w:t>
            </w:r>
          </w:p>
        </w:tc>
        <w:tc>
          <w:tcPr>
            <w:tcW w:type="dxa" w:w="2197"/>
            <w:shd w:val="clear" w:color="auto" w:fill="1f3864"/>
            <w:vAlign w:val="center"/>
          </w:tcPr>
          <w:p>
            <w:pPr>
              <w:spacing w:after="40" w:before="40"/>
              <w:jc w:val="center"/>
            </w:pPr>
            <w:r>
              <w:rPr>
                <w:b/>
                <w:color w:val="FFFFFF"/>
                <w:sz w:val="19"/>
              </w:rPr>
              <w:t>TLS (8883)</w:t>
            </w:r>
          </w:p>
        </w:tc>
        <w:tc>
          <w:tcPr>
            <w:tcW w:type="dxa" w:w="2197"/>
            <w:shd w:val="clear" w:color="auto" w:fill="1f3864"/>
            <w:vAlign w:val="center"/>
          </w:tcPr>
          <w:p>
            <w:pPr>
              <w:spacing w:after="40" w:before="40"/>
              <w:jc w:val="center"/>
            </w:pPr>
            <w:r>
              <w:rPr>
                <w:b/>
                <w:color w:val="FFFFFF"/>
                <w:sz w:val="19"/>
              </w:rPr>
              <w:t>TLS trošak</w:t>
            </w:r>
          </w:p>
        </w:tc>
      </w:tr>
      <w:tr>
        <w:tc>
          <w:tcPr>
            <w:tcW w:type="dxa" w:w="2197"/>
            <w:vAlign w:val="center"/>
          </w:tcPr>
          <w:p>
            <w:pPr>
              <w:spacing w:after="20" w:before="20"/>
            </w:pPr>
            <w:r>
              <w:rPr>
                <w:b/>
                <w:sz w:val="19"/>
              </w:rPr>
              <w:t>n / drops</w:t>
            </w:r>
          </w:p>
        </w:tc>
        <w:tc>
          <w:tcPr>
            <w:tcW w:type="dxa" w:w="2197"/>
            <w:vAlign w:val="center"/>
          </w:tcPr>
          <w:p>
            <w:pPr>
              <w:spacing w:after="20" w:before="20"/>
            </w:pPr>
            <w:r>
              <w:rPr>
                <w:sz w:val="19"/>
              </w:rPr>
              <w:t>100 / 0</w:t>
            </w:r>
          </w:p>
        </w:tc>
        <w:tc>
          <w:tcPr>
            <w:tcW w:type="dxa" w:w="2197"/>
            <w:vAlign w:val="center"/>
          </w:tcPr>
          <w:p>
            <w:pPr>
              <w:spacing w:after="20" w:before="20"/>
            </w:pPr>
            <w:r>
              <w:rPr>
                <w:sz w:val="19"/>
              </w:rPr>
              <w:t>100 / 0</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mean</w:t>
            </w:r>
          </w:p>
        </w:tc>
        <w:tc>
          <w:tcPr>
            <w:tcW w:type="dxa" w:w="2197"/>
            <w:vAlign w:val="center"/>
          </w:tcPr>
          <w:p>
            <w:pPr>
              <w:spacing w:after="20" w:before="20"/>
            </w:pPr>
            <w:r>
              <w:rPr>
                <w:sz w:val="19"/>
              </w:rPr>
              <w:t>158,68 ms</w:t>
            </w:r>
          </w:p>
        </w:tc>
        <w:tc>
          <w:tcPr>
            <w:tcW w:type="dxa" w:w="2197"/>
            <w:vAlign w:val="center"/>
          </w:tcPr>
          <w:p>
            <w:pPr>
              <w:spacing w:after="20" w:before="20"/>
            </w:pPr>
            <w:r>
              <w:rPr>
                <w:sz w:val="19"/>
              </w:rPr>
              <w:t>159,87 ms</w:t>
            </w:r>
          </w:p>
        </w:tc>
        <w:tc>
          <w:tcPr>
            <w:tcW w:type="dxa" w:w="2197"/>
            <w:vAlign w:val="center"/>
          </w:tcPr>
          <w:p>
            <w:pPr>
              <w:spacing w:after="20" w:before="20"/>
            </w:pPr>
            <w:r>
              <w:rPr>
                <w:sz w:val="19"/>
              </w:rPr>
              <w:t>+1,19 ms</w:t>
            </w:r>
          </w:p>
        </w:tc>
      </w:tr>
      <w:tr>
        <w:tc>
          <w:tcPr>
            <w:tcW w:type="dxa" w:w="2197"/>
            <w:vAlign w:val="center"/>
          </w:tcPr>
          <w:p>
            <w:pPr>
              <w:spacing w:after="20" w:before="20"/>
            </w:pPr>
            <w:r>
              <w:rPr>
                <w:b/>
                <w:sz w:val="19"/>
              </w:rPr>
              <w:t>median</w:t>
            </w:r>
          </w:p>
        </w:tc>
        <w:tc>
          <w:tcPr>
            <w:tcW w:type="dxa" w:w="2197"/>
            <w:vAlign w:val="center"/>
          </w:tcPr>
          <w:p>
            <w:pPr>
              <w:spacing w:after="20" w:before="20"/>
            </w:pPr>
            <w:r>
              <w:rPr>
                <w:sz w:val="19"/>
              </w:rPr>
              <w:t>158,79 ms</w:t>
            </w:r>
          </w:p>
        </w:tc>
        <w:tc>
          <w:tcPr>
            <w:tcW w:type="dxa" w:w="2197"/>
            <w:vAlign w:val="center"/>
          </w:tcPr>
          <w:p>
            <w:pPr>
              <w:spacing w:after="20" w:before="20"/>
            </w:pPr>
            <w:r>
              <w:rPr>
                <w:sz w:val="19"/>
              </w:rPr>
              <w:t>159,20 ms</w:t>
            </w:r>
          </w:p>
        </w:tc>
        <w:tc>
          <w:tcPr>
            <w:tcW w:type="dxa" w:w="2197"/>
            <w:vAlign w:val="center"/>
          </w:tcPr>
          <w:p>
            <w:pPr>
              <w:spacing w:after="20" w:before="20"/>
            </w:pPr>
            <w:r>
              <w:rPr>
                <w:sz w:val="19"/>
              </w:rPr>
              <w:t>+0,41 ms</w:t>
            </w:r>
          </w:p>
        </w:tc>
      </w:tr>
      <w:tr>
        <w:tc>
          <w:tcPr>
            <w:tcW w:type="dxa" w:w="2197"/>
            <w:vAlign w:val="center"/>
          </w:tcPr>
          <w:p>
            <w:pPr>
              <w:spacing w:after="20" w:before="20"/>
            </w:pPr>
            <w:r>
              <w:rPr>
                <w:b/>
                <w:sz w:val="19"/>
              </w:rPr>
              <w:t>p95</w:t>
            </w:r>
          </w:p>
        </w:tc>
        <w:tc>
          <w:tcPr>
            <w:tcW w:type="dxa" w:w="2197"/>
            <w:vAlign w:val="center"/>
          </w:tcPr>
          <w:p>
            <w:pPr>
              <w:spacing w:after="20" w:before="20"/>
            </w:pPr>
            <w:r>
              <w:rPr>
                <w:sz w:val="19"/>
              </w:rPr>
              <w:t>182,11 ms</w:t>
            </w:r>
          </w:p>
        </w:tc>
        <w:tc>
          <w:tcPr>
            <w:tcW w:type="dxa" w:w="2197"/>
            <w:vAlign w:val="center"/>
          </w:tcPr>
          <w:p>
            <w:pPr>
              <w:spacing w:after="20" w:before="20"/>
            </w:pPr>
            <w:r>
              <w:rPr>
                <w:sz w:val="19"/>
              </w:rPr>
              <w:t>189,60 ms</w:t>
            </w:r>
          </w:p>
        </w:tc>
        <w:tc>
          <w:tcPr>
            <w:tcW w:type="dxa" w:w="2197"/>
            <w:vAlign w:val="center"/>
          </w:tcPr>
          <w:p>
            <w:pPr>
              <w:spacing w:after="20" w:before="20"/>
            </w:pPr>
            <w:r>
              <w:rPr>
                <w:sz w:val="19"/>
              </w:rPr>
              <w:t>+7,5 ms</w:t>
            </w:r>
          </w:p>
        </w:tc>
      </w:tr>
      <w:tr>
        <w:tc>
          <w:tcPr>
            <w:tcW w:type="dxa" w:w="2197"/>
            <w:vAlign w:val="center"/>
          </w:tcPr>
          <w:p>
            <w:pPr>
              <w:spacing w:after="20" w:before="20"/>
            </w:pPr>
            <w:r>
              <w:rPr>
                <w:b/>
                <w:sz w:val="19"/>
              </w:rPr>
              <w:t>min</w:t>
            </w:r>
          </w:p>
        </w:tc>
        <w:tc>
          <w:tcPr>
            <w:tcW w:type="dxa" w:w="2197"/>
            <w:vAlign w:val="center"/>
          </w:tcPr>
          <w:p>
            <w:pPr>
              <w:spacing w:after="20" w:before="20"/>
            </w:pPr>
            <w:r>
              <w:rPr>
                <w:sz w:val="19"/>
              </w:rPr>
              <w:t>120,56 ms</w:t>
            </w:r>
          </w:p>
        </w:tc>
        <w:tc>
          <w:tcPr>
            <w:tcW w:type="dxa" w:w="2197"/>
            <w:vAlign w:val="center"/>
          </w:tcPr>
          <w:p>
            <w:pPr>
              <w:spacing w:after="20" w:before="20"/>
            </w:pPr>
            <w:r>
              <w:rPr>
                <w:sz w:val="19"/>
              </w:rPr>
              <w:t>90,64 ms</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max</w:t>
            </w:r>
          </w:p>
        </w:tc>
        <w:tc>
          <w:tcPr>
            <w:tcW w:type="dxa" w:w="2197"/>
            <w:vAlign w:val="center"/>
          </w:tcPr>
          <w:p>
            <w:pPr>
              <w:spacing w:after="20" w:before="20"/>
            </w:pPr>
            <w:r>
              <w:rPr>
                <w:sz w:val="19"/>
              </w:rPr>
              <w:t>202,98 ms</w:t>
            </w:r>
          </w:p>
        </w:tc>
        <w:tc>
          <w:tcPr>
            <w:tcW w:type="dxa" w:w="2197"/>
            <w:vAlign w:val="center"/>
          </w:tcPr>
          <w:p>
            <w:pPr>
              <w:spacing w:after="20" w:before="20"/>
            </w:pPr>
            <w:r>
              <w:rPr>
                <w:sz w:val="19"/>
              </w:rPr>
              <w:t>398,13 ms</w:t>
            </w:r>
          </w:p>
        </w:tc>
        <w:tc>
          <w:tcPr>
            <w:tcW w:type="dxa" w:w="2197"/>
            <w:vAlign w:val="center"/>
          </w:tcPr>
          <w:p>
            <w:pPr>
              <w:spacing w:after="20" w:before="20"/>
            </w:pPr>
            <w:r>
              <w:rPr>
                <w:sz w:val="19"/>
              </w:rPr>
              <w:t>—</w:t>
            </w:r>
          </w:p>
        </w:tc>
      </w:tr>
    </w:tbl>
    <w:p>
      <w:pPr>
        <w:spacing w:before="80" w:after="80"/>
        <w:jc w:val="center"/>
        <w:keepNext/>
      </w:pPr>
      <w:r>
        <w:rPr>
          <w:b/>
          <w:i/>
          <w:sz w:val="19"/>
        </w:rPr>
        <w:t xml:space="preserve">Slika 5. </w:t>
      </w:r>
      <w:r>
        <w:rPr>
          <w:i/>
          <w:sz w:val="19"/>
        </w:rPr>
        <w:t>Command RTT sa granicom od 200 ms.</w:t>
      </w:r>
    </w:p>
    <w:p>
      <w:pPr>
        <w:spacing w:before="60" w:after="20"/>
      </w:pPr>
      <w:r>
        <w:rPr>
          <w:sz w:val="19"/>
        </w:rPr>
        <w:t xml:space="preserve">200 ms — granica hipoteze:  </w:t>
      </w:r>
      <w:r>
        <w:rPr>
          <w:b/>
          <w:color w:val="9A9A94"/>
          <w:sz w:val="19"/>
        </w:rPr>
        <w:t>200 ms</w:t>
      </w:r>
    </w:p>
    <w:tbl>
      <w:tblPr>
        <w:tblW w:type="auto" w:w="0"/>
        <w:jc w:val="left"/>
        <w:tblLayout w:type="fixed"/>
        <w:tblLook w:firstColumn="1" w:firstRow="1" w:lastColumn="0" w:lastRow="0" w:noHBand="0" w:noVBand="1" w:val="04A0"/>
        <w:tblLayout w:type="fixed"/>
        <w:tblW w:w="9072" w:type="dxa"/>
      </w:tblPr>
      <w:tblGrid>
        <w:gridCol w:w="8788"/>
      </w:tblGrid>
      <w:tr>
        <w:trPr>
          <w:trHeight w:val="150" w:hRule="exact"/>
        </w:trPr>
        <w:tc>
          <w:tcPr>
            <w:tcW w:type="dxa" w:w="9072"/>
            <w:shd w:val="clear" w:color="auto" w:fill="9a9a94"/>
          </w:tcPr>
          <w:p>
            <w:pPr>
              <w:spacing w:after="0" w:before="0"/>
            </w:pPr>
          </w:p>
        </w:tc>
      </w:tr>
    </w:tbl>
    <w:p>
      <w:pPr>
        <w:spacing w:before="60" w:after="20"/>
      </w:pPr>
      <w:r>
        <w:rPr>
          <w:sz w:val="19"/>
        </w:rPr>
        <w:t xml:space="preserve">Plain — p95:  </w:t>
      </w:r>
      <w:r>
        <w:rPr>
          <w:b/>
          <w:color w:val="2A78D6"/>
          <w:sz w:val="19"/>
        </w:rPr>
        <w:t>182.11 ms</w:t>
      </w:r>
    </w:p>
    <w:tbl>
      <w:tblPr>
        <w:tblW w:type="auto" w:w="0"/>
        <w:jc w:val="left"/>
        <w:tblLayout w:type="fixed"/>
        <w:tblLook w:firstColumn="1" w:firstRow="1" w:lastColumn="0" w:lastRow="0" w:noHBand="0" w:noVBand="1" w:val="04A0"/>
        <w:tblLayout w:type="fixed"/>
        <w:tblW w:w="8260" w:type="dxa"/>
      </w:tblPr>
      <w:tblGrid>
        <w:gridCol w:w="8788"/>
      </w:tblGrid>
      <w:tr>
        <w:trPr>
          <w:trHeight w:val="150" w:hRule="exact"/>
        </w:trPr>
        <w:tc>
          <w:tcPr>
            <w:tcW w:type="dxa" w:w="8261"/>
            <w:shd w:val="clear" w:color="auto" w:fill="2a78d6"/>
          </w:tcPr>
          <w:p>
            <w:pPr>
              <w:spacing w:after="0" w:before="0"/>
            </w:pPr>
          </w:p>
        </w:tc>
      </w:tr>
    </w:tbl>
    <w:p>
      <w:pPr>
        <w:spacing w:before="60" w:after="20"/>
      </w:pPr>
      <w:r>
        <w:rPr>
          <w:sz w:val="19"/>
        </w:rPr>
        <w:t xml:space="preserve">TLS — p95:  </w:t>
      </w:r>
      <w:r>
        <w:rPr>
          <w:b/>
          <w:color w:val="EB6834"/>
          <w:sz w:val="19"/>
        </w:rPr>
        <w:t>189.6 ms</w:t>
      </w:r>
    </w:p>
    <w:tbl>
      <w:tblPr>
        <w:tblW w:type="auto" w:w="0"/>
        <w:jc w:val="left"/>
        <w:tblLayout w:type="fixed"/>
        <w:tblLook w:firstColumn="1" w:firstRow="1" w:lastColumn="0" w:lastRow="0" w:noHBand="0" w:noVBand="1" w:val="04A0"/>
        <w:tblLayout w:type="fixed"/>
        <w:tblW w:w="8600" w:type="dxa"/>
      </w:tblPr>
      <w:tblGrid>
        <w:gridCol w:w="8788"/>
      </w:tblGrid>
      <w:tr>
        <w:trPr>
          <w:trHeight w:val="150" w:hRule="exact"/>
        </w:trPr>
        <w:tc>
          <w:tcPr>
            <w:tcW w:type="dxa" w:w="8600"/>
            <w:shd w:val="clear" w:color="auto" w:fill="eb6834"/>
          </w:tcPr>
          <w:p>
            <w:pPr>
              <w:spacing w:after="0" w:before="0"/>
            </w:pPr>
          </w:p>
        </w:tc>
      </w:tr>
    </w:tbl>
    <w:p>
      <w:pPr>
        <w:spacing w:before="60"/>
      </w:pPr>
      <w:r>
        <w:rPr>
          <w:i/>
          <w:color w:val="52514E"/>
          <w:sz w:val="18"/>
        </w:rPr>
        <w:t>Oba kanala su ispod 200 ms; mean-delta je samo +1,2 ms (TLS je praktično besplatan po komandi).</w:t>
      </w:r>
    </w:p>
    <w:p>
      <w:r>
        <w:t xml:space="preserve">TLS dodaje svega ≈1,2 ms na srednju vrednost i ≈7,5 ms na 95. percentil odziva. Oba kanala ostaju ispod granice od 200 ms — presudno, </w:t>
      </w:r>
      <w:r>
        <w:rPr>
          <w:b/>
        </w:rPr>
        <w:t>p95 od 190 ms na TLS kanalu je manji od 200 ms</w:t>
      </w:r>
      <w:r>
        <w:t>, kao i 182 ms na običnom kanalu. Razlog tako male razlike jeste to što se, jednom uspostavljena, TLS sesija po poruci naplaćuje samo simetričnom AES-GCM operacijom, hardverski ubrzanom i reda mikrosekundi; handshake se ne ponavlja.</w:t>
      </w:r>
    </w:p>
    <w:p>
      <w:r>
        <w:t>Apsolutna vrednost „poda” RTT-a od približno 158 ms viša je od naivnog očekivanja za lokalnu mrežu, ali njen uzrok nije ni broker ni TLS, već Wi-Fi štednja energije (modem-sleep) na ESP32. U režimu štednje uređaj budi radio-deo tek na DTIM beacon (interval 2 × 102,4 ms), pa nishodna komanda čeka do sledećeg beacon prozora. Dokaz da je to uzrok jeste činjenica da obični kanal ima identičan pod od ≈158 ms — da je TLS krivac, ta dva poda bi se razlikovala. Latencija bi se mogla sniziti isključivanjem Wi-Fi štednje, po ceni veće potrošnje, što je van obima ovog merenja. Jedini TLS ispad (max 398 ms) izolovan je reconnect/retransmisija, a ne trend; korišćena metrika (p95) ostaje na 190 ms.</w:t>
      </w:r>
    </w:p>
    <w:p>
      <w:pPr>
        <w:pStyle w:val="Heading2"/>
        <w:keepNext/>
      </w:pPr>
      <w:r>
        <w:t>Iskorišćenost procesora i runtime dijagnostika</w:t>
      </w:r>
    </w:p>
    <w:p>
      <w:r>
        <w:t xml:space="preserve">Peta merna dimenzija, uvedena firmverom v3.0.0 kroz namenski </w:t>
      </w:r>
      <w:r>
        <w:rPr>
          <w:rFonts w:ascii="Consolas" w:hAnsi="Consolas"/>
          <w:sz w:val="21"/>
        </w:rPr>
        <w:t>diag</w:t>
      </w:r>
      <w:r>
        <w:t xml:space="preserve"> modul, jeste iskorišćenost procesora po jezgru. Modul na svakih 5 s očitava FreeRTOS run-time statistiku (</w:t>
      </w:r>
      <w:r>
        <w:rPr>
          <w:rFonts w:ascii="Consolas" w:hAnsi="Consolas"/>
          <w:sz w:val="21"/>
        </w:rPr>
        <w:t>uxTaskGetSystemState</w:t>
      </w:r>
      <w:r>
        <w:t xml:space="preserve">) i računa intervalni load po jezgru iz udela idle taskova, po formuli </w:t>
      </w:r>
      <w:r>
        <w:rPr>
          <w:rFonts w:ascii="Consolas" w:hAnsi="Consolas"/>
          <w:sz w:val="21"/>
        </w:rPr>
        <w:t>load = 100 · (1 − idle_delta / per_core)</w:t>
      </w:r>
      <w:r>
        <w:t>. Metod je jedinično-nezavisan (odnos), pa ne zavisi od rezolucije sata. Mere se tri režima: prozor povezivanja, ustaljeno stanje i sintetičko opterećenje.</w:t>
      </w:r>
    </w:p>
    <w:p>
      <w:pPr>
        <w:spacing w:before="80" w:after="80"/>
        <w:jc w:val="left"/>
        <w:keepNext/>
      </w:pPr>
      <w:r>
        <w:rPr>
          <w:b/>
          <w:i/>
          <w:sz w:val="19"/>
        </w:rPr>
        <w:t xml:space="preserve">Tabela 21. </w:t>
      </w:r>
      <w:r>
        <w:rPr>
          <w:i/>
          <w:sz w:val="19"/>
        </w:rPr>
        <w:t>CPU u prozoru povezivanja (prosek dva jezgra, jedan hladan boot)</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shd w:val="clear" w:color="auto" w:fill="1f3864"/>
            <w:vAlign w:val="center"/>
          </w:tcPr>
          <w:p>
            <w:pPr>
              <w:spacing w:after="40" w:before="40"/>
              <w:jc w:val="center"/>
            </w:pPr>
            <w:r>
              <w:rPr>
                <w:b/>
                <w:color w:val="FFFFFF"/>
                <w:sz w:val="19"/>
              </w:rPr>
              <w:t>Prozor „connect” (avg)</w:t>
            </w:r>
          </w:p>
        </w:tc>
        <w:tc>
          <w:tcPr>
            <w:tcW w:type="dxa" w:w="2197"/>
            <w:shd w:val="clear" w:color="auto" w:fill="1f3864"/>
            <w:vAlign w:val="center"/>
          </w:tcPr>
          <w:p>
            <w:pPr>
              <w:spacing w:after="40" w:before="40"/>
              <w:jc w:val="center"/>
            </w:pPr>
            <w:r>
              <w:rPr>
                <w:b/>
                <w:color w:val="FFFFFF"/>
                <w:sz w:val="19"/>
              </w:rPr>
              <w:t>esp1 (plain)</w:t>
            </w:r>
          </w:p>
        </w:tc>
        <w:tc>
          <w:tcPr>
            <w:tcW w:type="dxa" w:w="2197"/>
            <w:shd w:val="clear" w:color="auto" w:fill="1f3864"/>
            <w:vAlign w:val="center"/>
          </w:tcPr>
          <w:p>
            <w:pPr>
              <w:spacing w:after="40" w:before="40"/>
              <w:jc w:val="center"/>
            </w:pPr>
            <w:r>
              <w:rPr>
                <w:b/>
                <w:color w:val="FFFFFF"/>
                <w:sz w:val="19"/>
              </w:rPr>
              <w:t>esp2 (MQTTS/TLS)</w:t>
            </w:r>
          </w:p>
        </w:tc>
        <w:tc>
          <w:tcPr>
            <w:tcW w:type="dxa" w:w="2197"/>
            <w:shd w:val="clear" w:color="auto" w:fill="1f3864"/>
            <w:vAlign w:val="center"/>
          </w:tcPr>
          <w:p>
            <w:pPr>
              <w:spacing w:after="40" w:before="40"/>
              <w:jc w:val="center"/>
            </w:pPr>
            <w:r>
              <w:rPr>
                <w:b/>
                <w:color w:val="FFFFFF"/>
                <w:sz w:val="19"/>
              </w:rPr>
              <w:t>Δ (TLS)</w:t>
            </w:r>
          </w:p>
        </w:tc>
      </w:tr>
      <w:tr>
        <w:tc>
          <w:tcPr>
            <w:tcW w:type="dxa" w:w="2197"/>
            <w:vAlign w:val="center"/>
          </w:tcPr>
          <w:p>
            <w:pPr>
              <w:spacing w:after="20" w:before="20"/>
            </w:pPr>
            <w:r>
              <w:rPr>
                <w:b/>
                <w:sz w:val="19"/>
              </w:rPr>
              <w:t>izmereno (boot log)</w:t>
            </w:r>
          </w:p>
        </w:tc>
        <w:tc>
          <w:tcPr>
            <w:tcW w:type="dxa" w:w="2197"/>
            <w:vAlign w:val="center"/>
          </w:tcPr>
          <w:p>
            <w:pPr>
              <w:spacing w:after="20" w:before="20"/>
            </w:pPr>
            <w:r>
              <w:rPr>
                <w:sz w:val="19"/>
              </w:rPr>
              <w:t>28 %</w:t>
            </w:r>
          </w:p>
        </w:tc>
        <w:tc>
          <w:tcPr>
            <w:tcW w:type="dxa" w:w="2197"/>
            <w:vAlign w:val="center"/>
          </w:tcPr>
          <w:p>
            <w:pPr>
              <w:spacing w:after="20" w:before="20"/>
            </w:pPr>
            <w:r>
              <w:rPr>
                <w:sz w:val="19"/>
              </w:rPr>
              <w:t>34 %</w:t>
            </w:r>
          </w:p>
        </w:tc>
        <w:tc>
          <w:tcPr>
            <w:tcW w:type="dxa" w:w="2197"/>
            <w:vAlign w:val="center"/>
          </w:tcPr>
          <w:p>
            <w:pPr>
              <w:spacing w:after="20" w:before="20"/>
            </w:pPr>
            <w:r>
              <w:rPr>
                <w:sz w:val="19"/>
              </w:rPr>
              <w:t>+6</w:t>
            </w:r>
          </w:p>
        </w:tc>
      </w:tr>
    </w:tbl>
    <w:p>
      <w:r>
        <w:t>Tokom povezivanja MQTTS čvor troši ≈34 % prosečnog CPU-a naspram ≈28 % kod običnog čvora — razlika od šest procentnih poena posledica je ECDHE razmene, RSA-2048 verifikacije i parsiranja sertifikata. Reč je o jednokratnom šiljku po konekciji, koji traje delić sekunde i usrednjen je preko petosekundnog prozora, pa je trenutni pik viši; nalaz je konzistentan sa izmerenim handshake vremenom od ≈0,53 s.</w:t>
      </w:r>
    </w:p>
    <w:p>
      <w:pPr>
        <w:spacing w:before="80" w:after="80"/>
        <w:jc w:val="left"/>
        <w:keepNext/>
      </w:pPr>
      <w:r>
        <w:rPr>
          <w:b/>
          <w:i/>
          <w:sz w:val="19"/>
        </w:rPr>
        <w:t xml:space="preserve">Tabela 22. </w:t>
      </w:r>
      <w:r>
        <w:rPr>
          <w:i/>
          <w:sz w:val="19"/>
        </w:rPr>
        <w:t>CPU i dijagnostika u ustaljenom stanju (idle)</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Ustaljeno stanje</w:t>
            </w:r>
          </w:p>
        </w:tc>
        <w:tc>
          <w:tcPr>
            <w:tcW w:type="dxa" w:w="2929"/>
            <w:shd w:val="clear" w:color="auto" w:fill="1f3864"/>
            <w:vAlign w:val="center"/>
          </w:tcPr>
          <w:p>
            <w:pPr>
              <w:spacing w:after="40" w:before="40"/>
              <w:jc w:val="center"/>
            </w:pPr>
            <w:r>
              <w:rPr>
                <w:b/>
                <w:color w:val="FFFFFF"/>
                <w:sz w:val="19"/>
              </w:rPr>
              <w:t>esp1 (plain)</w:t>
            </w:r>
          </w:p>
        </w:tc>
        <w:tc>
          <w:tcPr>
            <w:tcW w:type="dxa" w:w="2929"/>
            <w:shd w:val="clear" w:color="auto" w:fill="1f3864"/>
            <w:vAlign w:val="center"/>
          </w:tcPr>
          <w:p>
            <w:pPr>
              <w:spacing w:after="40" w:before="40"/>
              <w:jc w:val="center"/>
            </w:pPr>
            <w:r>
              <w:rPr>
                <w:b/>
                <w:color w:val="FFFFFF"/>
                <w:sz w:val="19"/>
              </w:rPr>
              <w:t>esp2 (MQTTS/TLS)</w:t>
            </w:r>
          </w:p>
        </w:tc>
      </w:tr>
      <w:tr>
        <w:tc>
          <w:tcPr>
            <w:tcW w:type="dxa" w:w="2929"/>
            <w:vAlign w:val="center"/>
          </w:tcPr>
          <w:p>
            <w:pPr>
              <w:spacing w:after="20" w:before="20"/>
            </w:pPr>
            <w:r>
              <w:rPr>
                <w:b/>
                <w:sz w:val="19"/>
              </w:rPr>
              <w:t>cpu_avg (median)</w:t>
            </w:r>
          </w:p>
        </w:tc>
        <w:tc>
          <w:tcPr>
            <w:tcW w:type="dxa" w:w="2929"/>
            <w:vAlign w:val="center"/>
          </w:tcPr>
          <w:p>
            <w:pPr>
              <w:spacing w:after="20" w:before="20"/>
            </w:pPr>
            <w:r>
              <w:rPr>
                <w:sz w:val="19"/>
              </w:rPr>
              <w:t>1 %</w:t>
            </w:r>
          </w:p>
        </w:tc>
        <w:tc>
          <w:tcPr>
            <w:tcW w:type="dxa" w:w="2929"/>
            <w:vAlign w:val="center"/>
          </w:tcPr>
          <w:p>
            <w:pPr>
              <w:spacing w:after="20" w:before="20"/>
            </w:pPr>
            <w:r>
              <w:rPr>
                <w:sz w:val="19"/>
              </w:rPr>
              <w:t>1 %</w:t>
            </w:r>
          </w:p>
        </w:tc>
      </w:tr>
      <w:tr>
        <w:tc>
          <w:tcPr>
            <w:tcW w:type="dxa" w:w="2929"/>
            <w:vAlign w:val="center"/>
          </w:tcPr>
          <w:p>
            <w:pPr>
              <w:spacing w:after="20" w:before="20"/>
            </w:pPr>
            <w:r>
              <w:rPr>
                <w:b/>
                <w:sz w:val="19"/>
              </w:rPr>
              <w:t>pik u idle-u</w:t>
            </w:r>
          </w:p>
        </w:tc>
        <w:tc>
          <w:tcPr>
            <w:tcW w:type="dxa" w:w="2929"/>
            <w:vAlign w:val="center"/>
          </w:tcPr>
          <w:p>
            <w:pPr>
              <w:spacing w:after="20" w:before="20"/>
            </w:pPr>
            <w:r>
              <w:rPr>
                <w:sz w:val="19"/>
              </w:rPr>
              <w:t>2 %</w:t>
            </w:r>
          </w:p>
        </w:tc>
        <w:tc>
          <w:tcPr>
            <w:tcW w:type="dxa" w:w="2929"/>
            <w:vAlign w:val="center"/>
          </w:tcPr>
          <w:p>
            <w:pPr>
              <w:spacing w:after="20" w:before="20"/>
            </w:pPr>
            <w:r>
              <w:rPr>
                <w:sz w:val="19"/>
              </w:rPr>
              <w:t>2 % (na 30 s)</w:t>
            </w:r>
          </w:p>
        </w:tc>
      </w:tr>
      <w:tr>
        <w:tc>
          <w:tcPr>
            <w:tcW w:type="dxa" w:w="2929"/>
            <w:vAlign w:val="center"/>
          </w:tcPr>
          <w:p>
            <w:pPr>
              <w:spacing w:after="20" w:before="20"/>
            </w:pPr>
            <w:r>
              <w:rPr>
                <w:b/>
                <w:sz w:val="19"/>
              </w:rPr>
              <w:t>slobodan heap</w:t>
            </w:r>
          </w:p>
        </w:tc>
        <w:tc>
          <w:tcPr>
            <w:tcW w:type="dxa" w:w="2929"/>
            <w:vAlign w:val="center"/>
          </w:tcPr>
          <w:p>
            <w:pPr>
              <w:spacing w:after="20" w:before="20"/>
            </w:pPr>
            <w:r>
              <w:rPr>
                <w:sz w:val="19"/>
              </w:rPr>
              <w:t>207 392 B</w:t>
            </w:r>
          </w:p>
        </w:tc>
        <w:tc>
          <w:tcPr>
            <w:tcW w:type="dxa" w:w="2929"/>
            <w:vAlign w:val="center"/>
          </w:tcPr>
          <w:p>
            <w:pPr>
              <w:spacing w:after="20" w:before="20"/>
            </w:pPr>
            <w:r>
              <w:rPr>
                <w:sz w:val="19"/>
              </w:rPr>
              <w:t>169 360 B</w:t>
            </w:r>
          </w:p>
        </w:tc>
      </w:tr>
      <w:tr>
        <w:tc>
          <w:tcPr>
            <w:tcW w:type="dxa" w:w="2929"/>
            <w:vAlign w:val="center"/>
          </w:tcPr>
          <w:p>
            <w:pPr>
              <w:spacing w:after="20" w:before="20"/>
            </w:pPr>
            <w:r>
              <w:rPr>
                <w:b/>
                <w:sz w:val="19"/>
              </w:rPr>
              <w:t>min heap</w:t>
            </w:r>
          </w:p>
        </w:tc>
        <w:tc>
          <w:tcPr>
            <w:tcW w:type="dxa" w:w="2929"/>
            <w:vAlign w:val="center"/>
          </w:tcPr>
          <w:p>
            <w:pPr>
              <w:spacing w:after="20" w:before="20"/>
            </w:pPr>
            <w:r>
              <w:rPr>
                <w:sz w:val="19"/>
              </w:rPr>
              <w:t>165 784 B</w:t>
            </w:r>
          </w:p>
        </w:tc>
        <w:tc>
          <w:tcPr>
            <w:tcW w:type="dxa" w:w="2929"/>
            <w:vAlign w:val="center"/>
          </w:tcPr>
          <w:p>
            <w:pPr>
              <w:spacing w:after="20" w:before="20"/>
            </w:pPr>
            <w:r>
              <w:rPr>
                <w:sz w:val="19"/>
              </w:rPr>
              <w:t>118 488 B</w:t>
            </w:r>
          </w:p>
        </w:tc>
      </w:tr>
      <w:tr>
        <w:tc>
          <w:tcPr>
            <w:tcW w:type="dxa" w:w="2929"/>
            <w:vAlign w:val="center"/>
          </w:tcPr>
          <w:p>
            <w:pPr>
              <w:spacing w:after="20" w:before="20"/>
            </w:pPr>
            <w:r>
              <w:rPr>
                <w:b/>
                <w:sz w:val="19"/>
              </w:rPr>
              <w:t>RSSI</w:t>
            </w:r>
          </w:p>
        </w:tc>
        <w:tc>
          <w:tcPr>
            <w:tcW w:type="dxa" w:w="2929"/>
            <w:vAlign w:val="center"/>
          </w:tcPr>
          <w:p>
            <w:pPr>
              <w:spacing w:after="20" w:before="20"/>
            </w:pPr>
            <w:r>
              <w:rPr>
                <w:sz w:val="19"/>
              </w:rPr>
              <w:t>−57 dBm</w:t>
            </w:r>
          </w:p>
        </w:tc>
        <w:tc>
          <w:tcPr>
            <w:tcW w:type="dxa" w:w="2929"/>
            <w:vAlign w:val="center"/>
          </w:tcPr>
          <w:p>
            <w:pPr>
              <w:spacing w:after="20" w:before="20"/>
            </w:pPr>
            <w:r>
              <w:rPr>
                <w:sz w:val="19"/>
              </w:rPr>
              <w:t>−54 dBm</w:t>
            </w:r>
          </w:p>
        </w:tc>
      </w:tr>
      <w:tr>
        <w:tc>
          <w:tcPr>
            <w:tcW w:type="dxa" w:w="2929"/>
            <w:vAlign w:val="center"/>
          </w:tcPr>
          <w:p>
            <w:pPr>
              <w:spacing w:after="20" w:before="20"/>
            </w:pPr>
            <w:r>
              <w:rPr>
                <w:b/>
                <w:sz w:val="19"/>
              </w:rPr>
              <w:t>broj taskova</w:t>
            </w:r>
          </w:p>
        </w:tc>
        <w:tc>
          <w:tcPr>
            <w:tcW w:type="dxa" w:w="2929"/>
            <w:vAlign w:val="center"/>
          </w:tcPr>
          <w:p>
            <w:pPr>
              <w:spacing w:after="20" w:before="20"/>
            </w:pPr>
            <w:r>
              <w:rPr>
                <w:sz w:val="19"/>
              </w:rPr>
              <w:t>12</w:t>
            </w:r>
          </w:p>
        </w:tc>
        <w:tc>
          <w:tcPr>
            <w:tcW w:type="dxa" w:w="2929"/>
            <w:vAlign w:val="center"/>
          </w:tcPr>
          <w:p>
            <w:pPr>
              <w:spacing w:after="20" w:before="20"/>
            </w:pPr>
            <w:r>
              <w:rPr>
                <w:sz w:val="19"/>
              </w:rPr>
              <w:t>13 (+1 TLS)</w:t>
            </w:r>
          </w:p>
        </w:tc>
      </w:tr>
    </w:tbl>
    <w:p>
      <w:r>
        <w:t>U ustaljenom stanju oba čvora padaju na prosek od ≈1 %. MQTTS čvor pokazuje pravilne skokove od ≈2 % na svakih 30 s — to je AES-256-GCM enkripcija periodičnog temperaturnog PUBLISH-a — dok je obični čvor, bez periodične objave, ravan. Zaključak je da TLS u ustaljenom stanju košta zanemarljivo, jer se po poruci izvršava samo hardverski ubrzana simetrična operacija, što se poklapa sa nalazom o command-RTT trošku od ≈1 ms.</w:t>
      </w:r>
    </w:p>
    <w:p>
      <w:pPr>
        <w:spacing w:before="80" w:after="80"/>
        <w:jc w:val="left"/>
        <w:keepNext/>
      </w:pPr>
      <w:r>
        <w:rPr>
          <w:b/>
          <w:i/>
          <w:sz w:val="19"/>
        </w:rPr>
        <w:t xml:space="preserve">Tabela 23. </w:t>
      </w:r>
      <w:r>
        <w:rPr>
          <w:i/>
          <w:sz w:val="19"/>
        </w:rPr>
        <w:t>CPU pod opterećenjem — light-toggle test na esp1 (≈1312 komandi za ≈45 s)</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shd w:val="clear" w:color="auto" w:fill="1f3864"/>
            <w:vAlign w:val="center"/>
          </w:tcPr>
          <w:p>
            <w:pPr>
              <w:spacing w:after="40" w:before="40"/>
              <w:jc w:val="center"/>
            </w:pPr>
            <w:r>
              <w:rPr>
                <w:b/>
                <w:color w:val="FFFFFF"/>
                <w:sz w:val="19"/>
              </w:rPr>
              <w:t>esp1 (plain) tokom testa</w:t>
            </w:r>
          </w:p>
        </w:tc>
        <w:tc>
          <w:tcPr>
            <w:tcW w:type="dxa" w:w="4394"/>
            <w:shd w:val="clear" w:color="auto" w:fill="1f3864"/>
            <w:vAlign w:val="center"/>
          </w:tcPr>
          <w:p>
            <w:pPr>
              <w:spacing w:after="40" w:before="40"/>
              <w:jc w:val="center"/>
            </w:pPr>
            <w:r>
              <w:rPr>
                <w:b/>
                <w:color w:val="FFFFFF"/>
                <w:sz w:val="19"/>
              </w:rPr>
              <w:t>Vrednost</w:t>
            </w:r>
          </w:p>
        </w:tc>
      </w:tr>
      <w:tr>
        <w:tc>
          <w:tcPr>
            <w:tcW w:type="dxa" w:w="4394"/>
            <w:vAlign w:val="center"/>
          </w:tcPr>
          <w:p>
            <w:pPr>
              <w:spacing w:after="20" w:before="20"/>
            </w:pPr>
            <w:r>
              <w:rPr>
                <w:b/>
                <w:sz w:val="19"/>
              </w:rPr>
              <w:t>baseline (idle)</w:t>
            </w:r>
          </w:p>
        </w:tc>
        <w:tc>
          <w:tcPr>
            <w:tcW w:type="dxa" w:w="4394"/>
            <w:vAlign w:val="center"/>
          </w:tcPr>
          <w:p>
            <w:pPr>
              <w:spacing w:after="20" w:before="20"/>
            </w:pPr>
            <w:r>
              <w:rPr>
                <w:sz w:val="19"/>
              </w:rPr>
              <w:t>≈1 %</w:t>
            </w:r>
          </w:p>
        </w:tc>
      </w:tr>
      <w:tr>
        <w:tc>
          <w:tcPr>
            <w:tcW w:type="dxa" w:w="4394"/>
            <w:vAlign w:val="center"/>
          </w:tcPr>
          <w:p>
            <w:pPr>
              <w:spacing w:after="20" w:before="20"/>
            </w:pPr>
            <w:r>
              <w:rPr>
                <w:b/>
                <w:sz w:val="19"/>
              </w:rPr>
              <w:t>pod opterećenjem (avg)</w:t>
            </w:r>
          </w:p>
        </w:tc>
        <w:tc>
          <w:tcPr>
            <w:tcW w:type="dxa" w:w="4394"/>
            <w:vAlign w:val="center"/>
          </w:tcPr>
          <w:p>
            <w:pPr>
              <w:spacing w:after="20" w:before="20"/>
            </w:pPr>
            <w:r>
              <w:rPr>
                <w:sz w:val="19"/>
              </w:rPr>
              <w:t>≈14 % (pik 15 %)</w:t>
            </w:r>
          </w:p>
        </w:tc>
      </w:tr>
      <w:tr>
        <w:tc>
          <w:tcPr>
            <w:tcW w:type="dxa" w:w="4394"/>
            <w:vAlign w:val="center"/>
          </w:tcPr>
          <w:p>
            <w:pPr>
              <w:spacing w:after="20" w:before="20"/>
            </w:pPr>
            <w:r>
              <w:rPr>
                <w:b/>
                <w:sz w:val="19"/>
              </w:rPr>
              <w:t>jezgro 0 (mreža/MQTT)</w:t>
            </w:r>
          </w:p>
        </w:tc>
        <w:tc>
          <w:tcPr>
            <w:tcW w:type="dxa" w:w="4394"/>
            <w:vAlign w:val="center"/>
          </w:tcPr>
          <w:p>
            <w:pPr>
              <w:spacing w:after="20" w:before="20"/>
            </w:pPr>
            <w:r>
              <w:rPr>
                <w:sz w:val="19"/>
              </w:rPr>
              <w:t>≈23 %</w:t>
            </w:r>
          </w:p>
        </w:tc>
      </w:tr>
      <w:tr>
        <w:tc>
          <w:tcPr>
            <w:tcW w:type="dxa" w:w="4394"/>
            <w:vAlign w:val="center"/>
          </w:tcPr>
          <w:p>
            <w:pPr>
              <w:spacing w:after="20" w:before="20"/>
            </w:pPr>
            <w:r>
              <w:rPr>
                <w:b/>
                <w:sz w:val="19"/>
              </w:rPr>
              <w:t>slobodan heap (min u testu)</w:t>
            </w:r>
          </w:p>
        </w:tc>
        <w:tc>
          <w:tcPr>
            <w:tcW w:type="dxa" w:w="4394"/>
            <w:vAlign w:val="center"/>
          </w:tcPr>
          <w:p>
            <w:pPr>
              <w:spacing w:after="20" w:before="20"/>
            </w:pPr>
            <w:r>
              <w:rPr>
                <w:sz w:val="19"/>
              </w:rPr>
              <w:t>204 288 B (pad ≈3 KB, bez curenja)</w:t>
            </w:r>
          </w:p>
        </w:tc>
      </w:tr>
      <w:tr>
        <w:tc>
          <w:tcPr>
            <w:tcW w:type="dxa" w:w="4394"/>
            <w:vAlign w:val="center"/>
          </w:tcPr>
          <w:p>
            <w:pPr>
              <w:spacing w:after="20" w:before="20"/>
            </w:pPr>
            <w:r>
              <w:rPr>
                <w:b/>
                <w:sz w:val="19"/>
              </w:rPr>
              <w:t>oporavak posle testa</w:t>
            </w:r>
          </w:p>
        </w:tc>
        <w:tc>
          <w:tcPr>
            <w:tcW w:type="dxa" w:w="4394"/>
            <w:vAlign w:val="center"/>
          </w:tcPr>
          <w:p>
            <w:pPr>
              <w:spacing w:after="20" w:before="20"/>
            </w:pPr>
            <w:r>
              <w:rPr>
                <w:sz w:val="19"/>
              </w:rPr>
              <w:t>≈1 % (odmah)</w:t>
            </w:r>
          </w:p>
        </w:tc>
      </w:tr>
    </w:tbl>
    <w:p>
      <w:r>
        <w:t>Da bi se izmerio CPU pri stvarnom radu, na esp1 je preko REST API-ja Home Assistant-a poslato 1312 switch komandi za oko 45 s (≈29 komandi/s). Čvor je obradio sve komande i vratio stanje uz prosečno opterećenje od ≈14 %, pri čemu obrada pada na jezgro 0 (networking jezgro) sa ≈23 %. Heap je ostao stabilan (pad od svega ≈3 KB, bez curenja), a oporavak na baseline bio je trenutan. Time se pokazuje da je sam sistem daleko od CPU zasićenja i da poseduje veliku rezervu.</w:t>
      </w:r>
    </w:p>
    <w:p>
      <w:pPr>
        <w:spacing w:before="80" w:after="80"/>
        <w:jc w:val="center"/>
        <w:keepNext/>
      </w:pPr>
      <w:r>
        <w:rPr>
          <w:b/>
          <w:i/>
          <w:sz w:val="19"/>
        </w:rPr>
        <w:t xml:space="preserve">Slika 6. </w:t>
      </w:r>
      <w:r>
        <w:rPr>
          <w:i/>
          <w:sz w:val="19"/>
        </w:rPr>
        <w:t>CPU load kroz vreme: light-toggle test na esp1 naspram idle stanja esp2.</w:t>
      </w:r>
    </w:p>
    <w:p>
      <w:pPr>
        <w:spacing w:before="60" w:after="20"/>
      </w:pPr>
      <w:r>
        <w:rPr>
          <w:sz w:val="19"/>
        </w:rPr>
        <w:t xml:space="preserve">esp1 — povezivanje:  </w:t>
      </w:r>
      <w:r>
        <w:rPr>
          <w:b/>
          <w:color w:val="2A78D6"/>
          <w:sz w:val="19"/>
        </w:rPr>
        <w:t>28 %</w:t>
      </w:r>
    </w:p>
    <w:tbl>
      <w:tblPr>
        <w:tblW w:type="auto" w:w="0"/>
        <w:jc w:val="left"/>
        <w:tblLayout w:type="fixed"/>
        <w:tblLook w:firstColumn="1" w:firstRow="1" w:lastColumn="0" w:lastRow="0" w:noHBand="0" w:noVBand="1" w:val="04A0"/>
        <w:tblLayout w:type="fixed"/>
        <w:tblW w:w="7471" w:type="dxa"/>
      </w:tblPr>
      <w:tblGrid>
        <w:gridCol w:w="8788"/>
      </w:tblGrid>
      <w:tr>
        <w:trPr>
          <w:trHeight w:val="150" w:hRule="exact"/>
        </w:trPr>
        <w:tc>
          <w:tcPr>
            <w:tcW w:type="dxa" w:w="7471"/>
            <w:shd w:val="clear" w:color="auto" w:fill="2a78d6"/>
          </w:tcPr>
          <w:p>
            <w:pPr>
              <w:spacing w:after="0" w:before="0"/>
            </w:pPr>
          </w:p>
        </w:tc>
      </w:tr>
    </w:tbl>
    <w:p>
      <w:pPr>
        <w:spacing w:before="60" w:after="20"/>
      </w:pPr>
      <w:r>
        <w:rPr>
          <w:sz w:val="19"/>
        </w:rPr>
        <w:t xml:space="preserve">esp2 — povezivanje (TLS):  </w:t>
      </w:r>
      <w:r>
        <w:rPr>
          <w:b/>
          <w:color w:val="EB6834"/>
          <w:sz w:val="19"/>
        </w:rPr>
        <w:t>34 %</w:t>
      </w:r>
    </w:p>
    <w:tbl>
      <w:tblPr>
        <w:tblW w:type="auto" w:w="0"/>
        <w:jc w:val="left"/>
        <w:tblLayout w:type="fixed"/>
        <w:tblLook w:firstColumn="1" w:firstRow="1" w:lastColumn="0" w:lastRow="0" w:noHBand="0" w:noVBand="1" w:val="04A0"/>
        <w:tblLayout w:type="fixed"/>
        <w:tblW w:w="9072" w:type="dxa"/>
      </w:tblPr>
      <w:tblGrid>
        <w:gridCol w:w="8788"/>
      </w:tblGrid>
      <w:tr>
        <w:trPr>
          <w:trHeight w:val="150" w:hRule="exact"/>
        </w:trPr>
        <w:tc>
          <w:tcPr>
            <w:tcW w:type="dxa" w:w="9072"/>
            <w:shd w:val="clear" w:color="auto" w:fill="eb6834"/>
          </w:tcPr>
          <w:p>
            <w:pPr>
              <w:spacing w:after="0" w:before="0"/>
            </w:pPr>
          </w:p>
        </w:tc>
      </w:tr>
    </w:tbl>
    <w:p>
      <w:pPr>
        <w:spacing w:before="60" w:after="20"/>
      </w:pPr>
      <w:r>
        <w:rPr>
          <w:sz w:val="19"/>
        </w:rPr>
        <w:t xml:space="preserve">oba — ustaljeno stanje:  </w:t>
      </w:r>
      <w:r>
        <w:rPr>
          <w:b/>
          <w:color w:val="9A9A94"/>
          <w:sz w:val="19"/>
        </w:rPr>
        <w:t>1 %</w:t>
      </w:r>
    </w:p>
    <w:tbl>
      <w:tblPr>
        <w:tblW w:type="auto" w:w="0"/>
        <w:jc w:val="left"/>
        <w:tblLayout w:type="fixed"/>
        <w:tblLook w:firstColumn="1" w:firstRow="1" w:lastColumn="0" w:lastRow="0" w:noHBand="0" w:noVBand="1" w:val="04A0"/>
        <w:tblLayout w:type="fixed"/>
        <w:tblW w:w="266" w:type="dxa"/>
      </w:tblPr>
      <w:tblGrid>
        <w:gridCol w:w="8788"/>
      </w:tblGrid>
      <w:tr>
        <w:trPr>
          <w:trHeight w:val="150" w:hRule="exact"/>
        </w:trPr>
        <w:tc>
          <w:tcPr>
            <w:tcW w:type="dxa" w:w="267"/>
            <w:shd w:val="clear" w:color="auto" w:fill="9a9a94"/>
          </w:tcPr>
          <w:p>
            <w:pPr>
              <w:spacing w:after="0" w:before="0"/>
            </w:pPr>
          </w:p>
        </w:tc>
      </w:tr>
    </w:tbl>
    <w:p>
      <w:pPr>
        <w:spacing w:before="60" w:after="20"/>
      </w:pPr>
      <w:r>
        <w:rPr>
          <w:sz w:val="19"/>
        </w:rPr>
        <w:t xml:space="preserve">esp1 — load test (~29 kom/s):  </w:t>
      </w:r>
      <w:r>
        <w:rPr>
          <w:b/>
          <w:color w:val="3FA34D"/>
          <w:sz w:val="19"/>
        </w:rPr>
        <w:t>14 %</w:t>
      </w:r>
    </w:p>
    <w:tbl>
      <w:tblPr>
        <w:tblW w:type="auto" w:w="0"/>
        <w:jc w:val="left"/>
        <w:tblLayout w:type="fixed"/>
        <w:tblLook w:firstColumn="1" w:firstRow="1" w:lastColumn="0" w:lastRow="0" w:noHBand="0" w:noVBand="1" w:val="04A0"/>
        <w:tblLayout w:type="fixed"/>
        <w:tblW w:w="3735" w:type="dxa"/>
      </w:tblPr>
      <w:tblGrid>
        <w:gridCol w:w="8788"/>
      </w:tblGrid>
      <w:tr>
        <w:trPr>
          <w:trHeight w:val="150" w:hRule="exact"/>
        </w:trPr>
        <w:tc>
          <w:tcPr>
            <w:tcW w:type="dxa" w:w="3736"/>
            <w:shd w:val="clear" w:color="auto" w:fill="3fa34d"/>
          </w:tcPr>
          <w:p>
            <w:pPr>
              <w:spacing w:after="0" w:before="0"/>
            </w:pPr>
          </w:p>
        </w:tc>
      </w:tr>
    </w:tbl>
    <w:p>
      <w:pPr>
        <w:spacing w:before="60"/>
      </w:pPr>
      <w:r>
        <w:rPr>
          <w:i/>
          <w:color w:val="52514E"/>
          <w:sz w:val="18"/>
        </w:rPr>
        <w:t>TLS CPU trošak je tranzijentan (+6 % u prozoru povezivanja); ustaljeno stanje ~1 %.</w:t>
      </w:r>
    </w:p>
    <w:p>
      <w:pPr>
        <w:spacing w:before="80" w:after="80"/>
        <w:jc w:val="left"/>
        <w:keepNext/>
      </w:pPr>
      <w:r>
        <w:rPr>
          <w:b/>
          <w:i/>
          <w:sz w:val="19"/>
        </w:rPr>
        <w:t xml:space="preserve">Tabela 24. </w:t>
      </w:r>
      <w:r>
        <w:rPr>
          <w:i/>
          <w:sz w:val="19"/>
        </w:rPr>
        <w:t>Izbor ključnih taskova: stack head-room (reči) i kumulativni CPU udeo (‰)</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shd w:val="clear" w:color="auto" w:fill="1f3864"/>
            <w:vAlign w:val="center"/>
          </w:tcPr>
          <w:p>
            <w:pPr>
              <w:spacing w:after="40" w:before="40"/>
              <w:jc w:val="center"/>
            </w:pPr>
            <w:r>
              <w:rPr>
                <w:b/>
                <w:color w:val="FFFFFF"/>
                <w:sz w:val="19"/>
              </w:rPr>
              <w:t>Task</w:t>
            </w:r>
          </w:p>
        </w:tc>
        <w:tc>
          <w:tcPr>
            <w:tcW w:type="dxa" w:w="1758"/>
            <w:shd w:val="clear" w:color="auto" w:fill="1f3864"/>
            <w:vAlign w:val="center"/>
          </w:tcPr>
          <w:p>
            <w:pPr>
              <w:spacing w:after="40" w:before="40"/>
              <w:jc w:val="center"/>
            </w:pPr>
            <w:r>
              <w:rPr>
                <w:b/>
                <w:color w:val="FFFFFF"/>
                <w:sz w:val="19"/>
              </w:rPr>
              <w:t>esp1 stack</w:t>
            </w:r>
          </w:p>
        </w:tc>
        <w:tc>
          <w:tcPr>
            <w:tcW w:type="dxa" w:w="1758"/>
            <w:shd w:val="clear" w:color="auto" w:fill="1f3864"/>
            <w:vAlign w:val="center"/>
          </w:tcPr>
          <w:p>
            <w:pPr>
              <w:spacing w:after="40" w:before="40"/>
              <w:jc w:val="center"/>
            </w:pPr>
            <w:r>
              <w:rPr>
                <w:b/>
                <w:color w:val="FFFFFF"/>
                <w:sz w:val="19"/>
              </w:rPr>
              <w:t>esp1 ‰</w:t>
            </w:r>
          </w:p>
        </w:tc>
        <w:tc>
          <w:tcPr>
            <w:tcW w:type="dxa" w:w="1758"/>
            <w:shd w:val="clear" w:color="auto" w:fill="1f3864"/>
            <w:vAlign w:val="center"/>
          </w:tcPr>
          <w:p>
            <w:pPr>
              <w:spacing w:after="40" w:before="40"/>
              <w:jc w:val="center"/>
            </w:pPr>
            <w:r>
              <w:rPr>
                <w:b/>
                <w:color w:val="FFFFFF"/>
                <w:sz w:val="19"/>
              </w:rPr>
              <w:t>esp2 stack</w:t>
            </w:r>
          </w:p>
        </w:tc>
        <w:tc>
          <w:tcPr>
            <w:tcW w:type="dxa" w:w="1758"/>
            <w:shd w:val="clear" w:color="auto" w:fill="1f3864"/>
            <w:vAlign w:val="center"/>
          </w:tcPr>
          <w:p>
            <w:pPr>
              <w:spacing w:after="40" w:before="40"/>
              <w:jc w:val="center"/>
            </w:pPr>
            <w:r>
              <w:rPr>
                <w:b/>
                <w:color w:val="FFFFFF"/>
                <w:sz w:val="19"/>
              </w:rPr>
              <w:t>esp2 ‰</w:t>
            </w:r>
          </w:p>
        </w:tc>
      </w:tr>
      <w:tr>
        <w:tc>
          <w:tcPr>
            <w:tcW w:type="dxa" w:w="1758"/>
            <w:vAlign w:val="center"/>
          </w:tcPr>
          <w:p>
            <w:pPr>
              <w:spacing w:after="20" w:before="20"/>
            </w:pPr>
            <w:r>
              <w:rPr>
                <w:b/>
                <w:sz w:val="19"/>
              </w:rPr>
              <w:t>wifi</w:t>
            </w:r>
          </w:p>
        </w:tc>
        <w:tc>
          <w:tcPr>
            <w:tcW w:type="dxa" w:w="1758"/>
            <w:vAlign w:val="center"/>
          </w:tcPr>
          <w:p>
            <w:pPr>
              <w:spacing w:after="20" w:before="20"/>
            </w:pPr>
            <w:r>
              <w:rPr>
                <w:sz w:val="19"/>
              </w:rPr>
              <w:t>3608</w:t>
            </w:r>
          </w:p>
        </w:tc>
        <w:tc>
          <w:tcPr>
            <w:tcW w:type="dxa" w:w="1758"/>
            <w:vAlign w:val="center"/>
          </w:tcPr>
          <w:p>
            <w:pPr>
              <w:spacing w:after="20" w:before="20"/>
            </w:pPr>
            <w:r>
              <w:rPr>
                <w:sz w:val="19"/>
              </w:rPr>
              <w:t>172</w:t>
            </w:r>
          </w:p>
        </w:tc>
        <w:tc>
          <w:tcPr>
            <w:tcW w:type="dxa" w:w="1758"/>
            <w:vAlign w:val="center"/>
          </w:tcPr>
          <w:p>
            <w:pPr>
              <w:spacing w:after="20" w:before="20"/>
            </w:pPr>
            <w:r>
              <w:rPr>
                <w:sz w:val="19"/>
              </w:rPr>
              <w:t>3612</w:t>
            </w:r>
          </w:p>
        </w:tc>
        <w:tc>
          <w:tcPr>
            <w:tcW w:type="dxa" w:w="1758"/>
            <w:vAlign w:val="center"/>
          </w:tcPr>
          <w:p>
            <w:pPr>
              <w:spacing w:after="20" w:before="20"/>
            </w:pPr>
            <w:r>
              <w:rPr>
                <w:sz w:val="19"/>
              </w:rPr>
              <w:t>49</w:t>
            </w:r>
          </w:p>
        </w:tc>
      </w:tr>
      <w:tr>
        <w:tc>
          <w:tcPr>
            <w:tcW w:type="dxa" w:w="1758"/>
            <w:vAlign w:val="center"/>
          </w:tcPr>
          <w:p>
            <w:pPr>
              <w:spacing w:after="20" w:before="20"/>
            </w:pPr>
            <w:r>
              <w:rPr>
                <w:b/>
                <w:sz w:val="19"/>
              </w:rPr>
              <w:t>IDLE0</w:t>
            </w:r>
          </w:p>
        </w:tc>
        <w:tc>
          <w:tcPr>
            <w:tcW w:type="dxa" w:w="1758"/>
            <w:vAlign w:val="center"/>
          </w:tcPr>
          <w:p>
            <w:pPr>
              <w:spacing w:after="20" w:before="20"/>
            </w:pPr>
            <w:r>
              <w:rPr>
                <w:sz w:val="19"/>
              </w:rPr>
              <w:t>920</w:t>
            </w:r>
          </w:p>
        </w:tc>
        <w:tc>
          <w:tcPr>
            <w:tcW w:type="dxa" w:w="1758"/>
            <w:vAlign w:val="center"/>
          </w:tcPr>
          <w:p>
            <w:pPr>
              <w:spacing w:after="20" w:before="20"/>
            </w:pPr>
            <w:r>
              <w:rPr>
                <w:sz w:val="19"/>
              </w:rPr>
              <w:t>293</w:t>
            </w:r>
          </w:p>
        </w:tc>
        <w:tc>
          <w:tcPr>
            <w:tcW w:type="dxa" w:w="1758"/>
            <w:vAlign w:val="center"/>
          </w:tcPr>
          <w:p>
            <w:pPr>
              <w:spacing w:after="20" w:before="20"/>
            </w:pPr>
            <w:r>
              <w:rPr>
                <w:sz w:val="19"/>
              </w:rPr>
              <w:t>912</w:t>
            </w:r>
          </w:p>
        </w:tc>
        <w:tc>
          <w:tcPr>
            <w:tcW w:type="dxa" w:w="1758"/>
            <w:vAlign w:val="center"/>
          </w:tcPr>
          <w:p>
            <w:pPr>
              <w:spacing w:after="20" w:before="20"/>
            </w:pPr>
            <w:r>
              <w:rPr>
                <w:sz w:val="19"/>
              </w:rPr>
              <w:t>398</w:t>
            </w:r>
          </w:p>
        </w:tc>
      </w:tr>
      <w:tr>
        <w:tc>
          <w:tcPr>
            <w:tcW w:type="dxa" w:w="1758"/>
            <w:vAlign w:val="center"/>
          </w:tcPr>
          <w:p>
            <w:pPr>
              <w:spacing w:after="20" w:before="20"/>
            </w:pPr>
            <w:r>
              <w:rPr>
                <w:b/>
                <w:sz w:val="19"/>
              </w:rPr>
              <w:t>IDLE1</w:t>
            </w:r>
          </w:p>
        </w:tc>
        <w:tc>
          <w:tcPr>
            <w:tcW w:type="dxa" w:w="1758"/>
            <w:vAlign w:val="center"/>
          </w:tcPr>
          <w:p>
            <w:pPr>
              <w:spacing w:after="20" w:before="20"/>
            </w:pPr>
            <w:r>
              <w:rPr>
                <w:sz w:val="19"/>
              </w:rPr>
              <w:t>1028</w:t>
            </w:r>
          </w:p>
        </w:tc>
        <w:tc>
          <w:tcPr>
            <w:tcW w:type="dxa" w:w="1758"/>
            <w:vAlign w:val="center"/>
          </w:tcPr>
          <w:p>
            <w:pPr>
              <w:spacing w:after="20" w:before="20"/>
            </w:pPr>
            <w:r>
              <w:rPr>
                <w:sz w:val="19"/>
              </w:rPr>
              <w:t>430</w:t>
            </w:r>
          </w:p>
        </w:tc>
        <w:tc>
          <w:tcPr>
            <w:tcW w:type="dxa" w:w="1758"/>
            <w:vAlign w:val="center"/>
          </w:tcPr>
          <w:p>
            <w:pPr>
              <w:spacing w:after="20" w:before="20"/>
            </w:pPr>
            <w:r>
              <w:rPr>
                <w:sz w:val="19"/>
              </w:rPr>
              <w:t>1036</w:t>
            </w:r>
          </w:p>
        </w:tc>
        <w:tc>
          <w:tcPr>
            <w:tcW w:type="dxa" w:w="1758"/>
            <w:vAlign w:val="center"/>
          </w:tcPr>
          <w:p>
            <w:pPr>
              <w:spacing w:after="20" w:before="20"/>
            </w:pPr>
            <w:r>
              <w:rPr>
                <w:sz w:val="19"/>
              </w:rPr>
              <w:t>488</w:t>
            </w:r>
          </w:p>
        </w:tc>
      </w:tr>
      <w:tr>
        <w:tc>
          <w:tcPr>
            <w:tcW w:type="dxa" w:w="1758"/>
            <w:vAlign w:val="center"/>
          </w:tcPr>
          <w:p>
            <w:pPr>
              <w:spacing w:after="20" w:before="20"/>
            </w:pPr>
            <w:r>
              <w:rPr>
                <w:b/>
                <w:sz w:val="19"/>
              </w:rPr>
              <w:t>main</w:t>
            </w:r>
          </w:p>
        </w:tc>
        <w:tc>
          <w:tcPr>
            <w:tcW w:type="dxa" w:w="1758"/>
            <w:vAlign w:val="center"/>
          </w:tcPr>
          <w:p>
            <w:pPr>
              <w:spacing w:after="20" w:before="20"/>
            </w:pPr>
            <w:r>
              <w:rPr>
                <w:sz w:val="19"/>
              </w:rPr>
              <w:t>1468</w:t>
            </w:r>
          </w:p>
        </w:tc>
        <w:tc>
          <w:tcPr>
            <w:tcW w:type="dxa" w:w="1758"/>
            <w:vAlign w:val="center"/>
          </w:tcPr>
          <w:p>
            <w:pPr>
              <w:spacing w:after="20" w:before="20"/>
            </w:pPr>
            <w:r>
              <w:rPr>
                <w:sz w:val="19"/>
              </w:rPr>
              <w:t>31</w:t>
            </w:r>
          </w:p>
        </w:tc>
        <w:tc>
          <w:tcPr>
            <w:tcW w:type="dxa" w:w="1758"/>
            <w:vAlign w:val="center"/>
          </w:tcPr>
          <w:p>
            <w:pPr>
              <w:spacing w:after="20" w:before="20"/>
            </w:pPr>
            <w:r>
              <w:rPr>
                <w:sz w:val="19"/>
              </w:rPr>
              <w:t>1444</w:t>
            </w:r>
          </w:p>
        </w:tc>
        <w:tc>
          <w:tcPr>
            <w:tcW w:type="dxa" w:w="1758"/>
            <w:vAlign w:val="center"/>
          </w:tcPr>
          <w:p>
            <w:pPr>
              <w:spacing w:after="20" w:before="20"/>
            </w:pPr>
            <w:r>
              <w:rPr>
                <w:sz w:val="19"/>
              </w:rPr>
              <w:t>48</w:t>
            </w:r>
          </w:p>
        </w:tc>
      </w:tr>
      <w:tr>
        <w:tc>
          <w:tcPr>
            <w:tcW w:type="dxa" w:w="1758"/>
            <w:vAlign w:val="center"/>
          </w:tcPr>
          <w:p>
            <w:pPr>
              <w:spacing w:after="20" w:before="20"/>
            </w:pPr>
            <w:r>
              <w:rPr>
                <w:b/>
                <w:sz w:val="19"/>
              </w:rPr>
              <w:t>diag</w:t>
            </w:r>
          </w:p>
        </w:tc>
        <w:tc>
          <w:tcPr>
            <w:tcW w:type="dxa" w:w="1758"/>
            <w:vAlign w:val="center"/>
          </w:tcPr>
          <w:p>
            <w:pPr>
              <w:spacing w:after="20" w:before="20"/>
            </w:pPr>
            <w:r>
              <w:rPr>
                <w:sz w:val="19"/>
              </w:rPr>
              <w:t>3232</w:t>
            </w:r>
          </w:p>
        </w:tc>
        <w:tc>
          <w:tcPr>
            <w:tcW w:type="dxa" w:w="1758"/>
            <w:vAlign w:val="center"/>
          </w:tcPr>
          <w:p>
            <w:pPr>
              <w:spacing w:after="20" w:before="20"/>
            </w:pPr>
            <w:r>
              <w:rPr>
                <w:sz w:val="19"/>
              </w:rPr>
              <w:t>0</w:t>
            </w:r>
          </w:p>
        </w:tc>
        <w:tc>
          <w:tcPr>
            <w:tcW w:type="dxa" w:w="1758"/>
            <w:vAlign w:val="center"/>
          </w:tcPr>
          <w:p>
            <w:pPr>
              <w:spacing w:after="20" w:before="20"/>
            </w:pPr>
            <w:r>
              <w:rPr>
                <w:sz w:val="19"/>
              </w:rPr>
              <w:t>3236</w:t>
            </w:r>
          </w:p>
        </w:tc>
        <w:tc>
          <w:tcPr>
            <w:tcW w:type="dxa" w:w="1758"/>
            <w:vAlign w:val="center"/>
          </w:tcPr>
          <w:p>
            <w:pPr>
              <w:spacing w:after="20" w:before="20"/>
            </w:pPr>
            <w:r>
              <w:rPr>
                <w:sz w:val="19"/>
              </w:rPr>
              <w:t>0</w:t>
            </w:r>
          </w:p>
        </w:tc>
      </w:tr>
      <w:tr>
        <w:tc>
          <w:tcPr>
            <w:tcW w:type="dxa" w:w="1758"/>
            <w:vAlign w:val="center"/>
          </w:tcPr>
          <w:p>
            <w:pPr>
              <w:spacing w:after="20" w:before="20"/>
            </w:pPr>
            <w:r>
              <w:rPr>
                <w:b/>
                <w:sz w:val="19"/>
              </w:rPr>
              <w:t>tiT (lwIP)</w:t>
            </w:r>
          </w:p>
        </w:tc>
        <w:tc>
          <w:tcPr>
            <w:tcW w:type="dxa" w:w="1758"/>
            <w:vAlign w:val="center"/>
          </w:tcPr>
          <w:p>
            <w:pPr>
              <w:spacing w:after="20" w:before="20"/>
            </w:pPr>
            <w:r>
              <w:rPr>
                <w:sz w:val="19"/>
              </w:rPr>
              <w:t>2220</w:t>
            </w:r>
          </w:p>
        </w:tc>
        <w:tc>
          <w:tcPr>
            <w:tcW w:type="dxa" w:w="1758"/>
            <w:vAlign w:val="center"/>
          </w:tcPr>
          <w:p>
            <w:pPr>
              <w:spacing w:after="20" w:before="20"/>
            </w:pPr>
            <w:r>
              <w:rPr>
                <w:sz w:val="19"/>
              </w:rPr>
              <w:t>1</w:t>
            </w:r>
          </w:p>
        </w:tc>
        <w:tc>
          <w:tcPr>
            <w:tcW w:type="dxa" w:w="1758"/>
            <w:vAlign w:val="center"/>
          </w:tcPr>
          <w:p>
            <w:pPr>
              <w:spacing w:after="20" w:before="20"/>
            </w:pPr>
            <w:r>
              <w:rPr>
                <w:sz w:val="19"/>
              </w:rPr>
              <w:t>2212</w:t>
            </w:r>
          </w:p>
        </w:tc>
        <w:tc>
          <w:tcPr>
            <w:tcW w:type="dxa" w:w="1758"/>
            <w:vAlign w:val="center"/>
          </w:tcPr>
          <w:p>
            <w:pPr>
              <w:spacing w:after="20" w:before="20"/>
            </w:pPr>
            <w:r>
              <w:rPr>
                <w:sz w:val="19"/>
              </w:rPr>
              <w:t>1</w:t>
            </w:r>
          </w:p>
        </w:tc>
      </w:tr>
      <w:tr>
        <w:tc>
          <w:tcPr>
            <w:tcW w:type="dxa" w:w="1758"/>
            <w:vAlign w:val="center"/>
          </w:tcPr>
          <w:p>
            <w:pPr>
              <w:spacing w:after="20" w:before="20"/>
            </w:pPr>
            <w:r>
              <w:rPr>
                <w:b/>
                <w:sz w:val="19"/>
              </w:rPr>
              <w:t>ipc0/ipc1</w:t>
            </w:r>
          </w:p>
        </w:tc>
        <w:tc>
          <w:tcPr>
            <w:tcW w:type="dxa" w:w="1758"/>
            <w:vAlign w:val="center"/>
          </w:tcPr>
          <w:p>
            <w:pPr>
              <w:spacing w:after="20" w:before="20"/>
            </w:pPr>
            <w:r>
              <w:rPr>
                <w:sz w:val="19"/>
              </w:rPr>
              <w:t>500/508</w:t>
            </w:r>
          </w:p>
        </w:tc>
        <w:tc>
          <w:tcPr>
            <w:tcW w:type="dxa" w:w="1758"/>
            <w:vAlign w:val="center"/>
          </w:tcPr>
          <w:p>
            <w:pPr>
              <w:spacing w:after="20" w:before="20"/>
            </w:pPr>
            <w:r>
              <w:rPr>
                <w:sz w:val="19"/>
              </w:rPr>
              <w:t>1/67</w:t>
            </w:r>
          </w:p>
        </w:tc>
        <w:tc>
          <w:tcPr>
            <w:tcW w:type="dxa" w:w="1758"/>
            <w:vAlign w:val="center"/>
          </w:tcPr>
          <w:p>
            <w:pPr>
              <w:spacing w:after="20" w:before="20"/>
            </w:pPr>
            <w:r>
              <w:rPr>
                <w:sz w:val="19"/>
              </w:rPr>
              <w:t>500/508</w:t>
            </w:r>
          </w:p>
        </w:tc>
        <w:tc>
          <w:tcPr>
            <w:tcW w:type="dxa" w:w="1758"/>
            <w:vAlign w:val="center"/>
          </w:tcPr>
          <w:p>
            <w:pPr>
              <w:spacing w:after="20" w:before="20"/>
            </w:pPr>
            <w:r>
              <w:rPr>
                <w:sz w:val="19"/>
              </w:rPr>
              <w:t>1/8</w:t>
            </w:r>
          </w:p>
        </w:tc>
      </w:tr>
    </w:tbl>
    <w:p>
      <w:r>
        <w:t xml:space="preserve">Analiza tabele taskova potvrđuje zdravu rezervu steka: nijedan task nema kritično malo slobodnog prostora (najmanji je </w:t>
      </w:r>
      <w:r>
        <w:rPr>
          <w:rFonts w:ascii="Consolas" w:hAnsi="Consolas"/>
          <w:sz w:val="21"/>
        </w:rPr>
        <w:t>ipc</w:t>
      </w:r>
      <w:r>
        <w:t xml:space="preserve"> task sa ≈500 reči, odnosno oko 2 KB head-room). MQTTS čvor ima jedan task više (za TLS) i nešto niži idle-udeo tokom boot-a, jer handshake troši procesorsko vreme — što je konzistentno sa nalazom iz prozora povezivanja.</w:t>
      </w:r>
    </w:p>
    <w:p>
      <w:pPr>
        <w:pStyle w:val="Heading2"/>
        <w:keepNext/>
      </w:pPr>
      <w:r>
        <w:t>Temperaturni vremenski niz (validacija uživo)</w:t>
      </w:r>
    </w:p>
    <w:p>
      <w:r>
        <w:t>Radi validacije da sistem funkcioniše uživo i da MQTTS kanal isporučuje ispravne podatke, snimljen je vremenski niz temperatura koje MQTTS čvor objavljuje. Čvor esp2 na svakih 30 s objavljuje četiri simulirane temperature (random walk sa korakom ±0,5 °C, ograničen na opseg 15–30 °C) kao jedan retained JSON, koji Home Assistant i lokalni LCD ekran preslikavaju. Naredni grafikon prikazuje 13 uzoraka snimljenih uživo sa brokera: svaki senzor kreće iz svoje početne trake i lagano „šeta”, što je stvaran izlaz uređaja i dokaz da enkriptovani kanal ne narušava isporuku podataka.</w:t>
      </w:r>
    </w:p>
    <w:p>
      <w:pPr>
        <w:spacing w:before="80" w:after="80"/>
        <w:jc w:val="left"/>
        <w:keepNext/>
      </w:pPr>
      <w:r>
        <w:rPr>
          <w:b/>
          <w:i/>
          <w:sz w:val="19"/>
        </w:rPr>
        <w:t xml:space="preserve">Tabela 25. </w:t>
      </w:r>
      <w:r>
        <w:rPr>
          <w:i/>
          <w:sz w:val="19"/>
        </w:rPr>
        <w:t>MQTTS čvor: četiri simulirana senzora kroz vreme (uživo, v3.0.0).</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shd w:val="clear" w:color="auto" w:fill="1f3864"/>
            <w:vAlign w:val="center"/>
          </w:tcPr>
          <w:p>
            <w:pPr>
              <w:spacing w:after="40" w:before="40"/>
              <w:jc w:val="center"/>
            </w:pPr>
            <w:r>
              <w:rPr>
                <w:b/>
                <w:color w:val="FFFFFF"/>
                <w:sz w:val="19"/>
              </w:rPr>
              <w:t>Vreme [min]</w:t>
            </w:r>
          </w:p>
        </w:tc>
        <w:tc>
          <w:tcPr>
            <w:tcW w:type="dxa" w:w="1758"/>
            <w:shd w:val="clear" w:color="auto" w:fill="1f3864"/>
            <w:vAlign w:val="center"/>
          </w:tcPr>
          <w:p>
            <w:pPr>
              <w:spacing w:after="40" w:before="40"/>
              <w:jc w:val="center"/>
            </w:pPr>
            <w:r>
              <w:rPr>
                <w:b/>
                <w:color w:val="FFFFFF"/>
                <w:sz w:val="19"/>
              </w:rPr>
              <w:t>S1 [°C]</w:t>
            </w:r>
          </w:p>
        </w:tc>
        <w:tc>
          <w:tcPr>
            <w:tcW w:type="dxa" w:w="1758"/>
            <w:shd w:val="clear" w:color="auto" w:fill="1f3864"/>
            <w:vAlign w:val="center"/>
          </w:tcPr>
          <w:p>
            <w:pPr>
              <w:spacing w:after="40" w:before="40"/>
              <w:jc w:val="center"/>
            </w:pPr>
            <w:r>
              <w:rPr>
                <w:b/>
                <w:color w:val="FFFFFF"/>
                <w:sz w:val="19"/>
              </w:rPr>
              <w:t>S2 [°C]</w:t>
            </w:r>
          </w:p>
        </w:tc>
        <w:tc>
          <w:tcPr>
            <w:tcW w:type="dxa" w:w="1758"/>
            <w:shd w:val="clear" w:color="auto" w:fill="1f3864"/>
            <w:vAlign w:val="center"/>
          </w:tcPr>
          <w:p>
            <w:pPr>
              <w:spacing w:after="40" w:before="40"/>
              <w:jc w:val="center"/>
            </w:pPr>
            <w:r>
              <w:rPr>
                <w:b/>
                <w:color w:val="FFFFFF"/>
                <w:sz w:val="19"/>
              </w:rPr>
              <w:t>S3 [°C]</w:t>
            </w:r>
          </w:p>
        </w:tc>
        <w:tc>
          <w:tcPr>
            <w:tcW w:type="dxa" w:w="1758"/>
            <w:shd w:val="clear" w:color="auto" w:fill="1f3864"/>
            <w:vAlign w:val="center"/>
          </w:tcPr>
          <w:p>
            <w:pPr>
              <w:spacing w:after="40" w:before="40"/>
              <w:jc w:val="center"/>
            </w:pPr>
            <w:r>
              <w:rPr>
                <w:b/>
                <w:color w:val="FFFFFF"/>
                <w:sz w:val="19"/>
              </w:rPr>
              <w:t>S4 [°C]</w:t>
            </w:r>
          </w:p>
        </w:tc>
      </w:tr>
      <w:tr>
        <w:tc>
          <w:tcPr>
            <w:tcW w:type="dxa" w:w="1758"/>
            <w:vAlign w:val="center"/>
          </w:tcPr>
          <w:p>
            <w:pPr>
              <w:spacing w:after="20" w:before="20"/>
            </w:pPr>
            <w:r>
              <w:rPr>
                <w:b/>
                <w:sz w:val="19"/>
              </w:rPr>
              <w:t>0.0</w:t>
            </w:r>
          </w:p>
        </w:tc>
        <w:tc>
          <w:tcPr>
            <w:tcW w:type="dxa" w:w="1758"/>
            <w:vAlign w:val="center"/>
          </w:tcPr>
          <w:p>
            <w:pPr>
              <w:spacing w:after="20" w:before="20"/>
            </w:pPr>
            <w:r>
              <w:rPr>
                <w:sz w:val="19"/>
              </w:rPr>
              <w:t>21.2</w:t>
            </w:r>
          </w:p>
        </w:tc>
        <w:tc>
          <w:tcPr>
            <w:tcW w:type="dxa" w:w="1758"/>
            <w:vAlign w:val="center"/>
          </w:tcPr>
          <w:p>
            <w:pPr>
              <w:spacing w:after="20" w:before="20"/>
            </w:pPr>
            <w:r>
              <w:rPr>
                <w:sz w:val="19"/>
              </w:rPr>
              <w:t>23.9</w:t>
            </w:r>
          </w:p>
        </w:tc>
        <w:tc>
          <w:tcPr>
            <w:tcW w:type="dxa" w:w="1758"/>
            <w:vAlign w:val="center"/>
          </w:tcPr>
          <w:p>
            <w:pPr>
              <w:spacing w:after="20" w:before="20"/>
            </w:pPr>
            <w:r>
              <w:rPr>
                <w:sz w:val="19"/>
              </w:rPr>
              <w:t>18.7</w:t>
            </w:r>
          </w:p>
        </w:tc>
        <w:tc>
          <w:tcPr>
            <w:tcW w:type="dxa" w:w="1758"/>
            <w:vAlign w:val="center"/>
          </w:tcPr>
          <w:p>
            <w:pPr>
              <w:spacing w:after="20" w:before="20"/>
            </w:pPr>
            <w:r>
              <w:rPr>
                <w:sz w:val="19"/>
              </w:rPr>
              <w:t>25.8</w:t>
            </w:r>
          </w:p>
        </w:tc>
      </w:tr>
      <w:tr>
        <w:tc>
          <w:tcPr>
            <w:tcW w:type="dxa" w:w="1758"/>
            <w:vAlign w:val="center"/>
          </w:tcPr>
          <w:p>
            <w:pPr>
              <w:spacing w:after="20" w:before="20"/>
            </w:pPr>
            <w:r>
              <w:rPr>
                <w:b/>
                <w:sz w:val="19"/>
              </w:rPr>
              <w:t>0.1</w:t>
            </w:r>
          </w:p>
        </w:tc>
        <w:tc>
          <w:tcPr>
            <w:tcW w:type="dxa" w:w="1758"/>
            <w:vAlign w:val="center"/>
          </w:tcPr>
          <w:p>
            <w:pPr>
              <w:spacing w:after="20" w:before="20"/>
            </w:pPr>
            <w:r>
              <w:rPr>
                <w:sz w:val="19"/>
              </w:rPr>
              <w:t>21.4</w:t>
            </w:r>
          </w:p>
        </w:tc>
        <w:tc>
          <w:tcPr>
            <w:tcW w:type="dxa" w:w="1758"/>
            <w:vAlign w:val="center"/>
          </w:tcPr>
          <w:p>
            <w:pPr>
              <w:spacing w:after="20" w:before="20"/>
            </w:pPr>
            <w:r>
              <w:rPr>
                <w:sz w:val="19"/>
              </w:rPr>
              <w:t>23.9</w:t>
            </w:r>
          </w:p>
        </w:tc>
        <w:tc>
          <w:tcPr>
            <w:tcW w:type="dxa" w:w="1758"/>
            <w:vAlign w:val="center"/>
          </w:tcPr>
          <w:p>
            <w:pPr>
              <w:spacing w:after="20" w:before="20"/>
            </w:pPr>
            <w:r>
              <w:rPr>
                <w:sz w:val="19"/>
              </w:rPr>
              <w:t>18.2</w:t>
            </w:r>
          </w:p>
        </w:tc>
        <w:tc>
          <w:tcPr>
            <w:tcW w:type="dxa" w:w="1758"/>
            <w:vAlign w:val="center"/>
          </w:tcPr>
          <w:p>
            <w:pPr>
              <w:spacing w:after="20" w:before="20"/>
            </w:pPr>
            <w:r>
              <w:rPr>
                <w:sz w:val="19"/>
              </w:rPr>
              <w:t>26.1</w:t>
            </w:r>
          </w:p>
        </w:tc>
      </w:tr>
      <w:tr>
        <w:tc>
          <w:tcPr>
            <w:tcW w:type="dxa" w:w="1758"/>
            <w:vAlign w:val="center"/>
          </w:tcPr>
          <w:p>
            <w:pPr>
              <w:spacing w:after="20" w:before="20"/>
            </w:pPr>
            <w:r>
              <w:rPr>
                <w:b/>
                <w:sz w:val="19"/>
              </w:rPr>
              <w:t>0.7</w:t>
            </w:r>
          </w:p>
        </w:tc>
        <w:tc>
          <w:tcPr>
            <w:tcW w:type="dxa" w:w="1758"/>
            <w:vAlign w:val="center"/>
          </w:tcPr>
          <w:p>
            <w:pPr>
              <w:spacing w:after="20" w:before="20"/>
            </w:pPr>
            <w:r>
              <w:rPr>
                <w:sz w:val="19"/>
              </w:rPr>
              <w:t>21.3</w:t>
            </w:r>
          </w:p>
        </w:tc>
        <w:tc>
          <w:tcPr>
            <w:tcW w:type="dxa" w:w="1758"/>
            <w:vAlign w:val="center"/>
          </w:tcPr>
          <w:p>
            <w:pPr>
              <w:spacing w:after="20" w:before="20"/>
            </w:pPr>
            <w:r>
              <w:rPr>
                <w:sz w:val="19"/>
              </w:rPr>
              <w:t>24.1</w:t>
            </w:r>
          </w:p>
        </w:tc>
        <w:tc>
          <w:tcPr>
            <w:tcW w:type="dxa" w:w="1758"/>
            <w:vAlign w:val="center"/>
          </w:tcPr>
          <w:p>
            <w:pPr>
              <w:spacing w:after="20" w:before="20"/>
            </w:pPr>
            <w:r>
              <w:rPr>
                <w:sz w:val="19"/>
              </w:rPr>
              <w:t>17.9</w:t>
            </w:r>
          </w:p>
        </w:tc>
        <w:tc>
          <w:tcPr>
            <w:tcW w:type="dxa" w:w="1758"/>
            <w:vAlign w:val="center"/>
          </w:tcPr>
          <w:p>
            <w:pPr>
              <w:spacing w:after="20" w:before="20"/>
            </w:pPr>
            <w:r>
              <w:rPr>
                <w:sz w:val="19"/>
              </w:rPr>
              <w:t>26.4</w:t>
            </w:r>
          </w:p>
        </w:tc>
      </w:tr>
      <w:tr>
        <w:tc>
          <w:tcPr>
            <w:tcW w:type="dxa" w:w="1758"/>
            <w:vAlign w:val="center"/>
          </w:tcPr>
          <w:p>
            <w:pPr>
              <w:spacing w:after="20" w:before="20"/>
            </w:pPr>
            <w:r>
              <w:rPr>
                <w:b/>
                <w:sz w:val="19"/>
              </w:rPr>
              <w:t>1.1</w:t>
            </w:r>
          </w:p>
        </w:tc>
        <w:tc>
          <w:tcPr>
            <w:tcW w:type="dxa" w:w="1758"/>
            <w:vAlign w:val="center"/>
          </w:tcPr>
          <w:p>
            <w:pPr>
              <w:spacing w:after="20" w:before="20"/>
            </w:pPr>
            <w:r>
              <w:rPr>
                <w:sz w:val="19"/>
              </w:rPr>
              <w:t>21.0</w:t>
            </w:r>
          </w:p>
        </w:tc>
        <w:tc>
          <w:tcPr>
            <w:tcW w:type="dxa" w:w="1758"/>
            <w:vAlign w:val="center"/>
          </w:tcPr>
          <w:p>
            <w:pPr>
              <w:spacing w:after="20" w:before="20"/>
            </w:pPr>
            <w:r>
              <w:rPr>
                <w:sz w:val="19"/>
              </w:rPr>
              <w:t>24.0</w:t>
            </w:r>
          </w:p>
        </w:tc>
        <w:tc>
          <w:tcPr>
            <w:tcW w:type="dxa" w:w="1758"/>
            <w:vAlign w:val="center"/>
          </w:tcPr>
          <w:p>
            <w:pPr>
              <w:spacing w:after="20" w:before="20"/>
            </w:pPr>
            <w:r>
              <w:rPr>
                <w:sz w:val="19"/>
              </w:rPr>
              <w:t>17.9</w:t>
            </w:r>
          </w:p>
        </w:tc>
        <w:tc>
          <w:tcPr>
            <w:tcW w:type="dxa" w:w="1758"/>
            <w:vAlign w:val="center"/>
          </w:tcPr>
          <w:p>
            <w:pPr>
              <w:spacing w:after="20" w:before="20"/>
            </w:pPr>
            <w:r>
              <w:rPr>
                <w:sz w:val="19"/>
              </w:rPr>
              <w:t>26.9</w:t>
            </w:r>
          </w:p>
        </w:tc>
      </w:tr>
      <w:tr>
        <w:tc>
          <w:tcPr>
            <w:tcW w:type="dxa" w:w="1758"/>
            <w:vAlign w:val="center"/>
          </w:tcPr>
          <w:p>
            <w:pPr>
              <w:spacing w:after="20" w:before="20"/>
            </w:pPr>
            <w:r>
              <w:rPr>
                <w:b/>
                <w:sz w:val="19"/>
              </w:rPr>
              <w:t>1.6</w:t>
            </w:r>
          </w:p>
        </w:tc>
        <w:tc>
          <w:tcPr>
            <w:tcW w:type="dxa" w:w="1758"/>
            <w:vAlign w:val="center"/>
          </w:tcPr>
          <w:p>
            <w:pPr>
              <w:spacing w:after="20" w:before="20"/>
            </w:pPr>
            <w:r>
              <w:rPr>
                <w:sz w:val="19"/>
              </w:rPr>
              <w:t>20.7</w:t>
            </w:r>
          </w:p>
        </w:tc>
        <w:tc>
          <w:tcPr>
            <w:tcW w:type="dxa" w:w="1758"/>
            <w:vAlign w:val="center"/>
          </w:tcPr>
          <w:p>
            <w:pPr>
              <w:spacing w:after="20" w:before="20"/>
            </w:pPr>
            <w:r>
              <w:rPr>
                <w:sz w:val="19"/>
              </w:rPr>
              <w:t>23.6</w:t>
            </w:r>
          </w:p>
        </w:tc>
        <w:tc>
          <w:tcPr>
            <w:tcW w:type="dxa" w:w="1758"/>
            <w:vAlign w:val="center"/>
          </w:tcPr>
          <w:p>
            <w:pPr>
              <w:spacing w:after="20" w:before="20"/>
            </w:pPr>
            <w:r>
              <w:rPr>
                <w:sz w:val="19"/>
              </w:rPr>
              <w:t>18.2</w:t>
            </w:r>
          </w:p>
        </w:tc>
        <w:tc>
          <w:tcPr>
            <w:tcW w:type="dxa" w:w="1758"/>
            <w:vAlign w:val="center"/>
          </w:tcPr>
          <w:p>
            <w:pPr>
              <w:spacing w:after="20" w:before="20"/>
            </w:pPr>
            <w:r>
              <w:rPr>
                <w:sz w:val="19"/>
              </w:rPr>
              <w:t>26.5</w:t>
            </w:r>
          </w:p>
        </w:tc>
      </w:tr>
      <w:tr>
        <w:tc>
          <w:tcPr>
            <w:tcW w:type="dxa" w:w="1758"/>
            <w:vAlign w:val="center"/>
          </w:tcPr>
          <w:p>
            <w:pPr>
              <w:spacing w:after="20" w:before="20"/>
            </w:pPr>
            <w:r>
              <w:rPr>
                <w:b/>
                <w:sz w:val="19"/>
              </w:rPr>
              <w:t>2.1</w:t>
            </w:r>
          </w:p>
        </w:tc>
        <w:tc>
          <w:tcPr>
            <w:tcW w:type="dxa" w:w="1758"/>
            <w:vAlign w:val="center"/>
          </w:tcPr>
          <w:p>
            <w:pPr>
              <w:spacing w:after="20" w:before="20"/>
            </w:pPr>
            <w:r>
              <w:rPr>
                <w:sz w:val="19"/>
              </w:rPr>
              <w:t>20.8</w:t>
            </w:r>
          </w:p>
        </w:tc>
        <w:tc>
          <w:tcPr>
            <w:tcW w:type="dxa" w:w="1758"/>
            <w:vAlign w:val="center"/>
          </w:tcPr>
          <w:p>
            <w:pPr>
              <w:spacing w:after="20" w:before="20"/>
            </w:pPr>
            <w:r>
              <w:rPr>
                <w:sz w:val="19"/>
              </w:rPr>
              <w:t>23.4</w:t>
            </w:r>
          </w:p>
        </w:tc>
        <w:tc>
          <w:tcPr>
            <w:tcW w:type="dxa" w:w="1758"/>
            <w:vAlign w:val="center"/>
          </w:tcPr>
          <w:p>
            <w:pPr>
              <w:spacing w:after="20" w:before="20"/>
            </w:pPr>
            <w:r>
              <w:rPr>
                <w:sz w:val="19"/>
              </w:rPr>
              <w:t>18.0</w:t>
            </w:r>
          </w:p>
        </w:tc>
        <w:tc>
          <w:tcPr>
            <w:tcW w:type="dxa" w:w="1758"/>
            <w:vAlign w:val="center"/>
          </w:tcPr>
          <w:p>
            <w:pPr>
              <w:spacing w:after="20" w:before="20"/>
            </w:pPr>
            <w:r>
              <w:rPr>
                <w:sz w:val="19"/>
              </w:rPr>
              <w:t>26.2</w:t>
            </w:r>
          </w:p>
        </w:tc>
      </w:tr>
      <w:tr>
        <w:tc>
          <w:tcPr>
            <w:tcW w:type="dxa" w:w="1758"/>
            <w:vAlign w:val="center"/>
          </w:tcPr>
          <w:p>
            <w:pPr>
              <w:spacing w:after="20" w:before="20"/>
            </w:pPr>
            <w:r>
              <w:rPr>
                <w:b/>
                <w:sz w:val="19"/>
              </w:rPr>
              <w:t>2.6</w:t>
            </w:r>
          </w:p>
        </w:tc>
        <w:tc>
          <w:tcPr>
            <w:tcW w:type="dxa" w:w="1758"/>
            <w:vAlign w:val="center"/>
          </w:tcPr>
          <w:p>
            <w:pPr>
              <w:spacing w:after="20" w:before="20"/>
            </w:pPr>
            <w:r>
              <w:rPr>
                <w:sz w:val="19"/>
              </w:rPr>
              <w:t>20.4</w:t>
            </w:r>
          </w:p>
        </w:tc>
        <w:tc>
          <w:tcPr>
            <w:tcW w:type="dxa" w:w="1758"/>
            <w:vAlign w:val="center"/>
          </w:tcPr>
          <w:p>
            <w:pPr>
              <w:spacing w:after="20" w:before="20"/>
            </w:pPr>
            <w:r>
              <w:rPr>
                <w:sz w:val="19"/>
              </w:rPr>
              <w:t>23.7</w:t>
            </w:r>
          </w:p>
        </w:tc>
        <w:tc>
          <w:tcPr>
            <w:tcW w:type="dxa" w:w="1758"/>
            <w:vAlign w:val="center"/>
          </w:tcPr>
          <w:p>
            <w:pPr>
              <w:spacing w:after="20" w:before="20"/>
            </w:pPr>
            <w:r>
              <w:rPr>
                <w:sz w:val="19"/>
              </w:rPr>
              <w:t>17.5</w:t>
            </w:r>
          </w:p>
        </w:tc>
        <w:tc>
          <w:tcPr>
            <w:tcW w:type="dxa" w:w="1758"/>
            <w:vAlign w:val="center"/>
          </w:tcPr>
          <w:p>
            <w:pPr>
              <w:spacing w:after="20" w:before="20"/>
            </w:pPr>
            <w:r>
              <w:rPr>
                <w:sz w:val="19"/>
              </w:rPr>
              <w:t>26.7</w:t>
            </w:r>
          </w:p>
        </w:tc>
      </w:tr>
      <w:tr>
        <w:tc>
          <w:tcPr>
            <w:tcW w:type="dxa" w:w="1758"/>
            <w:vAlign w:val="center"/>
          </w:tcPr>
          <w:p>
            <w:pPr>
              <w:spacing w:after="20" w:before="20"/>
            </w:pPr>
            <w:r>
              <w:rPr>
                <w:b/>
                <w:sz w:val="19"/>
              </w:rPr>
              <w:t>3.1</w:t>
            </w:r>
          </w:p>
        </w:tc>
        <w:tc>
          <w:tcPr>
            <w:tcW w:type="dxa" w:w="1758"/>
            <w:vAlign w:val="center"/>
          </w:tcPr>
          <w:p>
            <w:pPr>
              <w:spacing w:after="20" w:before="20"/>
            </w:pPr>
            <w:r>
              <w:rPr>
                <w:sz w:val="19"/>
              </w:rPr>
              <w:t>20.2</w:t>
            </w:r>
          </w:p>
        </w:tc>
        <w:tc>
          <w:tcPr>
            <w:tcW w:type="dxa" w:w="1758"/>
            <w:vAlign w:val="center"/>
          </w:tcPr>
          <w:p>
            <w:pPr>
              <w:spacing w:after="20" w:before="20"/>
            </w:pPr>
            <w:r>
              <w:rPr>
                <w:sz w:val="19"/>
              </w:rPr>
              <w:t>23.2</w:t>
            </w:r>
          </w:p>
        </w:tc>
        <w:tc>
          <w:tcPr>
            <w:tcW w:type="dxa" w:w="1758"/>
            <w:vAlign w:val="center"/>
          </w:tcPr>
          <w:p>
            <w:pPr>
              <w:spacing w:after="20" w:before="20"/>
            </w:pPr>
            <w:r>
              <w:rPr>
                <w:sz w:val="19"/>
              </w:rPr>
              <w:t>17.8</w:t>
            </w:r>
          </w:p>
        </w:tc>
        <w:tc>
          <w:tcPr>
            <w:tcW w:type="dxa" w:w="1758"/>
            <w:vAlign w:val="center"/>
          </w:tcPr>
          <w:p>
            <w:pPr>
              <w:spacing w:after="20" w:before="20"/>
            </w:pPr>
            <w:r>
              <w:rPr>
                <w:sz w:val="19"/>
              </w:rPr>
              <w:t>27.0</w:t>
            </w:r>
          </w:p>
        </w:tc>
      </w:tr>
      <w:tr>
        <w:tc>
          <w:tcPr>
            <w:tcW w:type="dxa" w:w="1758"/>
            <w:vAlign w:val="center"/>
          </w:tcPr>
          <w:p>
            <w:pPr>
              <w:spacing w:after="20" w:before="20"/>
            </w:pPr>
            <w:r>
              <w:rPr>
                <w:b/>
                <w:sz w:val="19"/>
              </w:rPr>
              <w:t>3.6</w:t>
            </w:r>
          </w:p>
        </w:tc>
        <w:tc>
          <w:tcPr>
            <w:tcW w:type="dxa" w:w="1758"/>
            <w:vAlign w:val="center"/>
          </w:tcPr>
          <w:p>
            <w:pPr>
              <w:spacing w:after="20" w:before="20"/>
            </w:pPr>
            <w:r>
              <w:rPr>
                <w:sz w:val="19"/>
              </w:rPr>
              <w:t>20.1</w:t>
            </w:r>
          </w:p>
        </w:tc>
        <w:tc>
          <w:tcPr>
            <w:tcW w:type="dxa" w:w="1758"/>
            <w:vAlign w:val="center"/>
          </w:tcPr>
          <w:p>
            <w:pPr>
              <w:spacing w:after="20" w:before="20"/>
            </w:pPr>
            <w:r>
              <w:rPr>
                <w:sz w:val="19"/>
              </w:rPr>
              <w:t>23.3</w:t>
            </w:r>
          </w:p>
        </w:tc>
        <w:tc>
          <w:tcPr>
            <w:tcW w:type="dxa" w:w="1758"/>
            <w:vAlign w:val="center"/>
          </w:tcPr>
          <w:p>
            <w:pPr>
              <w:spacing w:after="20" w:before="20"/>
            </w:pPr>
            <w:r>
              <w:rPr>
                <w:sz w:val="19"/>
              </w:rPr>
              <w:t>18.2</w:t>
            </w:r>
          </w:p>
        </w:tc>
        <w:tc>
          <w:tcPr>
            <w:tcW w:type="dxa" w:w="1758"/>
            <w:vAlign w:val="center"/>
          </w:tcPr>
          <w:p>
            <w:pPr>
              <w:spacing w:after="20" w:before="20"/>
            </w:pPr>
            <w:r>
              <w:rPr>
                <w:sz w:val="19"/>
              </w:rPr>
              <w:t>27.3</w:t>
            </w:r>
          </w:p>
        </w:tc>
      </w:tr>
      <w:tr>
        <w:tc>
          <w:tcPr>
            <w:tcW w:type="dxa" w:w="1758"/>
            <w:vAlign w:val="center"/>
          </w:tcPr>
          <w:p>
            <w:pPr>
              <w:spacing w:after="20" w:before="20"/>
            </w:pPr>
            <w:r>
              <w:rPr>
                <w:b/>
                <w:sz w:val="19"/>
              </w:rPr>
              <w:t>4.2</w:t>
            </w:r>
          </w:p>
        </w:tc>
        <w:tc>
          <w:tcPr>
            <w:tcW w:type="dxa" w:w="1758"/>
            <w:vAlign w:val="center"/>
          </w:tcPr>
          <w:p>
            <w:pPr>
              <w:spacing w:after="20" w:before="20"/>
            </w:pPr>
            <w:r>
              <w:rPr>
                <w:sz w:val="19"/>
              </w:rPr>
              <w:t>20.0</w:t>
            </w:r>
          </w:p>
        </w:tc>
        <w:tc>
          <w:tcPr>
            <w:tcW w:type="dxa" w:w="1758"/>
            <w:vAlign w:val="center"/>
          </w:tcPr>
          <w:p>
            <w:pPr>
              <w:spacing w:after="20" w:before="20"/>
            </w:pPr>
            <w:r>
              <w:rPr>
                <w:sz w:val="19"/>
              </w:rPr>
              <w:t>23.3</w:t>
            </w:r>
          </w:p>
        </w:tc>
        <w:tc>
          <w:tcPr>
            <w:tcW w:type="dxa" w:w="1758"/>
            <w:vAlign w:val="center"/>
          </w:tcPr>
          <w:p>
            <w:pPr>
              <w:spacing w:after="20" w:before="20"/>
            </w:pPr>
            <w:r>
              <w:rPr>
                <w:sz w:val="19"/>
              </w:rPr>
              <w:t>18.1</w:t>
            </w:r>
          </w:p>
        </w:tc>
        <w:tc>
          <w:tcPr>
            <w:tcW w:type="dxa" w:w="1758"/>
            <w:vAlign w:val="center"/>
          </w:tcPr>
          <w:p>
            <w:pPr>
              <w:spacing w:after="20" w:before="20"/>
            </w:pPr>
            <w:r>
              <w:rPr>
                <w:sz w:val="19"/>
              </w:rPr>
              <w:t>27.4</w:t>
            </w:r>
          </w:p>
        </w:tc>
      </w:tr>
      <w:tr>
        <w:tc>
          <w:tcPr>
            <w:tcW w:type="dxa" w:w="1758"/>
            <w:vAlign w:val="center"/>
          </w:tcPr>
          <w:p>
            <w:pPr>
              <w:spacing w:after="20" w:before="20"/>
            </w:pPr>
            <w:r>
              <w:rPr>
                <w:b/>
                <w:sz w:val="19"/>
              </w:rPr>
              <w:t>4.7</w:t>
            </w:r>
          </w:p>
        </w:tc>
        <w:tc>
          <w:tcPr>
            <w:tcW w:type="dxa" w:w="1758"/>
            <w:vAlign w:val="center"/>
          </w:tcPr>
          <w:p>
            <w:pPr>
              <w:spacing w:after="20" w:before="20"/>
            </w:pPr>
            <w:r>
              <w:rPr>
                <w:sz w:val="19"/>
              </w:rPr>
              <w:t>19.9</w:t>
            </w:r>
          </w:p>
        </w:tc>
        <w:tc>
          <w:tcPr>
            <w:tcW w:type="dxa" w:w="1758"/>
            <w:vAlign w:val="center"/>
          </w:tcPr>
          <w:p>
            <w:pPr>
              <w:spacing w:after="20" w:before="20"/>
            </w:pPr>
            <w:r>
              <w:rPr>
                <w:sz w:val="19"/>
              </w:rPr>
              <w:t>23.4</w:t>
            </w:r>
          </w:p>
        </w:tc>
        <w:tc>
          <w:tcPr>
            <w:tcW w:type="dxa" w:w="1758"/>
            <w:vAlign w:val="center"/>
          </w:tcPr>
          <w:p>
            <w:pPr>
              <w:spacing w:after="20" w:before="20"/>
            </w:pPr>
            <w:r>
              <w:rPr>
                <w:sz w:val="19"/>
              </w:rPr>
              <w:t>17.6</w:t>
            </w:r>
          </w:p>
        </w:tc>
        <w:tc>
          <w:tcPr>
            <w:tcW w:type="dxa" w:w="1758"/>
            <w:vAlign w:val="center"/>
          </w:tcPr>
          <w:p>
            <w:pPr>
              <w:spacing w:after="20" w:before="20"/>
            </w:pPr>
            <w:r>
              <w:rPr>
                <w:sz w:val="19"/>
              </w:rPr>
              <w:t>27.2</w:t>
            </w:r>
          </w:p>
        </w:tc>
      </w:tr>
      <w:tr>
        <w:tc>
          <w:tcPr>
            <w:tcW w:type="dxa" w:w="1758"/>
            <w:vAlign w:val="center"/>
          </w:tcPr>
          <w:p>
            <w:pPr>
              <w:spacing w:after="20" w:before="20"/>
            </w:pPr>
            <w:r>
              <w:rPr>
                <w:b/>
                <w:sz w:val="19"/>
              </w:rPr>
              <w:t>5.2</w:t>
            </w:r>
          </w:p>
        </w:tc>
        <w:tc>
          <w:tcPr>
            <w:tcW w:type="dxa" w:w="1758"/>
            <w:vAlign w:val="center"/>
          </w:tcPr>
          <w:p>
            <w:pPr>
              <w:spacing w:after="20" w:before="20"/>
            </w:pPr>
            <w:r>
              <w:rPr>
                <w:sz w:val="19"/>
              </w:rPr>
              <w:t>19.6</w:t>
            </w:r>
          </w:p>
        </w:tc>
        <w:tc>
          <w:tcPr>
            <w:tcW w:type="dxa" w:w="1758"/>
            <w:vAlign w:val="center"/>
          </w:tcPr>
          <w:p>
            <w:pPr>
              <w:spacing w:after="20" w:before="20"/>
            </w:pPr>
            <w:r>
              <w:rPr>
                <w:sz w:val="19"/>
              </w:rPr>
              <w:t>23.4</w:t>
            </w:r>
          </w:p>
        </w:tc>
        <w:tc>
          <w:tcPr>
            <w:tcW w:type="dxa" w:w="1758"/>
            <w:vAlign w:val="center"/>
          </w:tcPr>
          <w:p>
            <w:pPr>
              <w:spacing w:after="20" w:before="20"/>
            </w:pPr>
            <w:r>
              <w:rPr>
                <w:sz w:val="19"/>
              </w:rPr>
              <w:t>17.2</w:t>
            </w:r>
          </w:p>
        </w:tc>
        <w:tc>
          <w:tcPr>
            <w:tcW w:type="dxa" w:w="1758"/>
            <w:vAlign w:val="center"/>
          </w:tcPr>
          <w:p>
            <w:pPr>
              <w:spacing w:after="20" w:before="20"/>
            </w:pPr>
            <w:r>
              <w:rPr>
                <w:sz w:val="19"/>
              </w:rPr>
              <w:t>26.9</w:t>
            </w:r>
          </w:p>
        </w:tc>
      </w:tr>
      <w:tr>
        <w:tc>
          <w:tcPr>
            <w:tcW w:type="dxa" w:w="1758"/>
            <w:vAlign w:val="center"/>
          </w:tcPr>
          <w:p>
            <w:pPr>
              <w:spacing w:after="20" w:before="20"/>
            </w:pPr>
            <w:r>
              <w:rPr>
                <w:b/>
                <w:sz w:val="19"/>
              </w:rPr>
              <w:t>5.7</w:t>
            </w:r>
          </w:p>
        </w:tc>
        <w:tc>
          <w:tcPr>
            <w:tcW w:type="dxa" w:w="1758"/>
            <w:vAlign w:val="center"/>
          </w:tcPr>
          <w:p>
            <w:pPr>
              <w:spacing w:after="20" w:before="20"/>
            </w:pPr>
            <w:r>
              <w:rPr>
                <w:sz w:val="19"/>
              </w:rPr>
              <w:t>20.0</w:t>
            </w:r>
          </w:p>
        </w:tc>
        <w:tc>
          <w:tcPr>
            <w:tcW w:type="dxa" w:w="1758"/>
            <w:vAlign w:val="center"/>
          </w:tcPr>
          <w:p>
            <w:pPr>
              <w:spacing w:after="20" w:before="20"/>
            </w:pPr>
            <w:r>
              <w:rPr>
                <w:sz w:val="19"/>
              </w:rPr>
              <w:t>23.4</w:t>
            </w:r>
          </w:p>
        </w:tc>
        <w:tc>
          <w:tcPr>
            <w:tcW w:type="dxa" w:w="1758"/>
            <w:vAlign w:val="center"/>
          </w:tcPr>
          <w:p>
            <w:pPr>
              <w:spacing w:after="20" w:before="20"/>
            </w:pPr>
            <w:r>
              <w:rPr>
                <w:sz w:val="19"/>
              </w:rPr>
              <w:t>17.5</w:t>
            </w:r>
          </w:p>
        </w:tc>
        <w:tc>
          <w:tcPr>
            <w:tcW w:type="dxa" w:w="1758"/>
            <w:vAlign w:val="center"/>
          </w:tcPr>
          <w:p>
            <w:pPr>
              <w:spacing w:after="20" w:before="20"/>
            </w:pPr>
            <w:r>
              <w:rPr>
                <w:sz w:val="19"/>
              </w:rPr>
              <w:t>27.0</w:t>
            </w:r>
          </w:p>
        </w:tc>
      </w:tr>
    </w:tbl>
    <w:p>
      <w:pPr>
        <w:pStyle w:val="Heading2"/>
        <w:keepNext/>
      </w:pPr>
      <w:r>
        <w:t>Validacija realnim podacima sa uređaja</w:t>
      </w:r>
    </w:p>
    <w:p>
      <w:r>
        <w:t xml:space="preserve">Verodostojnost agregiranih rezultata dodatno je potvrđena poređenjem sa sirovim podacima očitanim direktno sa uređaja. Firmver sam instrumentira boot proces i preko serijskog UART-a ispisuje </w:t>
      </w:r>
      <w:r>
        <w:rPr>
          <w:rFonts w:ascii="Consolas" w:hAnsi="Consolas"/>
          <w:sz w:val="21"/>
        </w:rPr>
        <w:t>MEAS</w:t>
      </w:r>
      <w:r>
        <w:t xml:space="preserve"> linije — isti izvor koji skripta za prikupljanje kasnije parsira. Vrednosti iz jednog jedinog uživo boot-a poklapaju se sa dokumentovanim prosekom kroz 30 ciklusa, kao što prikazuje naredna tabela.</w:t>
      </w:r>
    </w:p>
    <w:p>
      <w:pPr>
        <w:spacing w:before="80" w:after="80"/>
        <w:jc w:val="left"/>
        <w:keepNext/>
      </w:pPr>
      <w:r>
        <w:rPr>
          <w:b/>
          <w:i/>
          <w:sz w:val="19"/>
        </w:rPr>
        <w:t xml:space="preserve">Tabela 26. </w:t>
      </w:r>
      <w:r>
        <w:rPr>
          <w:i/>
          <w:sz w:val="19"/>
        </w:rPr>
        <w:t>Cross-validacija: serijski MEAS iz jednog boot-a naspram proseka (n=30)</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shd w:val="clear" w:color="auto" w:fill="1f3864"/>
            <w:vAlign w:val="center"/>
          </w:tcPr>
          <w:p>
            <w:pPr>
              <w:spacing w:after="40" w:before="40"/>
              <w:jc w:val="center"/>
            </w:pPr>
            <w:r>
              <w:rPr>
                <w:b/>
                <w:color w:val="FFFFFF"/>
                <w:sz w:val="19"/>
              </w:rPr>
              <w:t>Metrika</w:t>
            </w:r>
          </w:p>
        </w:tc>
        <w:tc>
          <w:tcPr>
            <w:tcW w:type="dxa" w:w="2197"/>
            <w:shd w:val="clear" w:color="auto" w:fill="1f3864"/>
            <w:vAlign w:val="center"/>
          </w:tcPr>
          <w:p>
            <w:pPr>
              <w:spacing w:after="40" w:before="40"/>
              <w:jc w:val="center"/>
            </w:pPr>
            <w:r>
              <w:rPr>
                <w:b/>
                <w:color w:val="FFFFFF"/>
                <w:sz w:val="19"/>
              </w:rPr>
              <w:t>Serijski MEAS (1 boot)</w:t>
            </w:r>
          </w:p>
        </w:tc>
        <w:tc>
          <w:tcPr>
            <w:tcW w:type="dxa" w:w="2197"/>
            <w:shd w:val="clear" w:color="auto" w:fill="1f3864"/>
            <w:vAlign w:val="center"/>
          </w:tcPr>
          <w:p>
            <w:pPr>
              <w:spacing w:after="40" w:before="40"/>
              <w:jc w:val="center"/>
            </w:pPr>
            <w:r>
              <w:rPr>
                <w:b/>
                <w:color w:val="FFFFFF"/>
                <w:sz w:val="19"/>
              </w:rPr>
              <w:t>Dokumentovano (n=30)</w:t>
            </w:r>
          </w:p>
        </w:tc>
        <w:tc>
          <w:tcPr>
            <w:tcW w:type="dxa" w:w="2197"/>
            <w:shd w:val="clear" w:color="auto" w:fill="1f3864"/>
            <w:vAlign w:val="center"/>
          </w:tcPr>
          <w:p>
            <w:pPr>
              <w:spacing w:after="40" w:before="40"/>
              <w:jc w:val="center"/>
            </w:pPr>
            <w:r>
              <w:rPr>
                <w:b/>
                <w:color w:val="FFFFFF"/>
                <w:sz w:val="19"/>
              </w:rPr>
              <w:t>Slaganje</w:t>
            </w:r>
          </w:p>
        </w:tc>
      </w:tr>
      <w:tr>
        <w:tc>
          <w:tcPr>
            <w:tcW w:type="dxa" w:w="2197"/>
            <w:vAlign w:val="center"/>
          </w:tcPr>
          <w:p>
            <w:pPr>
              <w:spacing w:after="20" w:before="20"/>
            </w:pPr>
            <w:r>
              <w:rPr>
                <w:b/>
                <w:sz w:val="19"/>
              </w:rPr>
              <w:t>Zadržani heap — esp1 (plain)</w:t>
            </w:r>
          </w:p>
        </w:tc>
        <w:tc>
          <w:tcPr>
            <w:tcW w:type="dxa" w:w="2197"/>
            <w:vAlign w:val="center"/>
          </w:tcPr>
          <w:p>
            <w:pPr>
              <w:spacing w:after="20" w:before="20"/>
            </w:pPr>
            <w:r>
              <w:rPr>
                <w:sz w:val="19"/>
              </w:rPr>
              <w:t>7 480 B</w:t>
            </w:r>
          </w:p>
        </w:tc>
        <w:tc>
          <w:tcPr>
            <w:tcW w:type="dxa" w:w="2197"/>
            <w:vAlign w:val="center"/>
          </w:tcPr>
          <w:p>
            <w:pPr>
              <w:spacing w:after="20" w:before="20"/>
            </w:pPr>
            <w:r>
              <w:rPr>
                <w:sz w:val="19"/>
              </w:rPr>
              <w:t>7 526 B (mean)</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Zadržani heap — esp2 (TLS)</w:t>
            </w:r>
          </w:p>
        </w:tc>
        <w:tc>
          <w:tcPr>
            <w:tcW w:type="dxa" w:w="2197"/>
            <w:vAlign w:val="center"/>
          </w:tcPr>
          <w:p>
            <w:pPr>
              <w:spacing w:after="20" w:before="20"/>
            </w:pPr>
            <w:r>
              <w:rPr>
                <w:sz w:val="19"/>
              </w:rPr>
              <w:t>41 356 B</w:t>
            </w:r>
          </w:p>
        </w:tc>
        <w:tc>
          <w:tcPr>
            <w:tcW w:type="dxa" w:w="2197"/>
            <w:vAlign w:val="center"/>
          </w:tcPr>
          <w:p>
            <w:pPr>
              <w:spacing w:after="20" w:before="20"/>
            </w:pPr>
            <w:r>
              <w:rPr>
                <w:sz w:val="19"/>
              </w:rPr>
              <w:t>41 628 B (mean)</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TLS heap trošak (esp2 − esp1)</w:t>
            </w:r>
          </w:p>
        </w:tc>
        <w:tc>
          <w:tcPr>
            <w:tcW w:type="dxa" w:w="2197"/>
            <w:vAlign w:val="center"/>
          </w:tcPr>
          <w:p>
            <w:pPr>
              <w:spacing w:after="20" w:before="20"/>
            </w:pPr>
            <w:r>
              <w:rPr>
                <w:sz w:val="19"/>
              </w:rPr>
              <w:t>33 876 B (33,1 KB)</w:t>
            </w:r>
          </w:p>
        </w:tc>
        <w:tc>
          <w:tcPr>
            <w:tcW w:type="dxa" w:w="2197"/>
            <w:vAlign w:val="center"/>
          </w:tcPr>
          <w:p>
            <w:pPr>
              <w:spacing w:after="20" w:before="20"/>
            </w:pPr>
            <w:r>
              <w:rPr>
                <w:sz w:val="19"/>
              </w:rPr>
              <w:t>+33,3 KB</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TLS baferi (mbedTLS IN/OUT)</w:t>
            </w:r>
          </w:p>
        </w:tc>
        <w:tc>
          <w:tcPr>
            <w:tcW w:type="dxa" w:w="2197"/>
            <w:vAlign w:val="center"/>
          </w:tcPr>
          <w:p>
            <w:pPr>
              <w:spacing w:after="20" w:before="20"/>
            </w:pPr>
            <w:r>
              <w:rPr>
                <w:sz w:val="19"/>
              </w:rPr>
              <w:t>16384 + 4096</w:t>
            </w:r>
          </w:p>
        </w:tc>
        <w:tc>
          <w:tcPr>
            <w:tcW w:type="dxa" w:w="2197"/>
            <w:vAlign w:val="center"/>
          </w:tcPr>
          <w:p>
            <w:pPr>
              <w:spacing w:after="20" w:before="20"/>
            </w:pPr>
            <w:r>
              <w:rPr>
                <w:sz w:val="19"/>
              </w:rPr>
              <w:t>16384 + 4096</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connect_span — esp1</w:t>
            </w:r>
          </w:p>
        </w:tc>
        <w:tc>
          <w:tcPr>
            <w:tcW w:type="dxa" w:w="2197"/>
            <w:vAlign w:val="center"/>
          </w:tcPr>
          <w:p>
            <w:pPr>
              <w:spacing w:after="20" w:before="20"/>
            </w:pPr>
            <w:r>
              <w:rPr>
                <w:sz w:val="19"/>
              </w:rPr>
              <w:t>46 ms</w:t>
            </w:r>
          </w:p>
        </w:tc>
        <w:tc>
          <w:tcPr>
            <w:tcW w:type="dxa" w:w="2197"/>
            <w:vAlign w:val="center"/>
          </w:tcPr>
          <w:p>
            <w:pPr>
              <w:spacing w:after="20" w:before="20"/>
            </w:pPr>
            <w:r>
              <w:rPr>
                <w:sz w:val="19"/>
              </w:rPr>
              <w:t>161 ms mean / 56 ms median</w:t>
            </w:r>
          </w:p>
        </w:tc>
        <w:tc>
          <w:tcPr>
            <w:tcW w:type="dxa" w:w="2197"/>
            <w:vAlign w:val="center"/>
          </w:tcPr>
          <w:p>
            <w:pPr>
              <w:spacing w:after="20" w:before="20"/>
            </w:pPr>
            <w:r>
              <w:rPr>
                <w:sz w:val="19"/>
              </w:rPr>
              <w:t>✓</w:t>
            </w:r>
          </w:p>
        </w:tc>
      </w:tr>
      <w:tr>
        <w:tc>
          <w:tcPr>
            <w:tcW w:type="dxa" w:w="2197"/>
            <w:vAlign w:val="center"/>
          </w:tcPr>
          <w:p>
            <w:pPr>
              <w:spacing w:after="20" w:before="20"/>
            </w:pPr>
            <w:r>
              <w:rPr>
                <w:b/>
                <w:sz w:val="19"/>
              </w:rPr>
              <w:t>connect_span — esp2</w:t>
            </w:r>
          </w:p>
        </w:tc>
        <w:tc>
          <w:tcPr>
            <w:tcW w:type="dxa" w:w="2197"/>
            <w:vAlign w:val="center"/>
          </w:tcPr>
          <w:p>
            <w:pPr>
              <w:spacing w:after="20" w:before="20"/>
            </w:pPr>
            <w:r>
              <w:rPr>
                <w:sz w:val="19"/>
              </w:rPr>
              <w:t>790 ms</w:t>
            </w:r>
          </w:p>
        </w:tc>
        <w:tc>
          <w:tcPr>
            <w:tcW w:type="dxa" w:w="2197"/>
            <w:vAlign w:val="center"/>
          </w:tcPr>
          <w:p>
            <w:pPr>
              <w:spacing w:after="20" w:before="20"/>
            </w:pPr>
            <w:r>
              <w:rPr>
                <w:sz w:val="19"/>
              </w:rPr>
              <w:t>693 ms mean</w:t>
            </w:r>
          </w:p>
        </w:tc>
        <w:tc>
          <w:tcPr>
            <w:tcW w:type="dxa" w:w="2197"/>
            <w:vAlign w:val="center"/>
          </w:tcPr>
          <w:p>
            <w:pPr>
              <w:spacing w:after="20" w:before="20"/>
            </w:pPr>
            <w:r>
              <w:rPr>
                <w:sz w:val="19"/>
              </w:rPr>
              <w:t>~</w:t>
            </w:r>
          </w:p>
        </w:tc>
      </w:tr>
    </w:tbl>
    <w:p>
      <w:r>
        <w:t>Slaganje je izvrsno: TLS memorijski trošak od približno 33 KB reprodukovan je iz živog loga uz odstupanje reda 0,1 KB. Jednokratna vremena povezivanja iz jednog hladnog boot-a leže pri vrhu distribucije (jer uključuju Wi-Fi asocijaciju), zbog čega se za headline vrednosti koriste medijana i srednja vrednost nad 30 ciklusa.</w:t>
      </w:r>
    </w:p>
    <w:p>
      <w:r>
        <w:t>Nezavisnu potvrdu daje i log samog brokera Mosquitto (verzija 2.1.2), koji za MQTTS čvor beleži pregovoreni cipher — isti onaj koji je izmeren iz Wireshark paketa ServerHello:</w:t>
      </w:r>
    </w:p>
    <w:tbl>
      <w:tblPr>
        <w:tblStyle w:val="TableGrid"/>
        <w:tblW w:type="auto" w:w="0"/>
        <w:jc w:val="center"/>
        <w:tblLayout w:type="fixed"/>
        <w:tblLook w:firstColumn="1" w:firstRow="1" w:lastColumn="0" w:lastRow="0" w:noHBand="0" w:noVBand="1" w:val="04A0"/>
        <w:tblLayout w:type="fixed"/>
        <w:tblW w:w="9072" w:type="dxa"/>
      </w:tblPr>
      <w:tblGrid>
        <w:gridCol w:w="8788"/>
      </w:tblGrid>
      <w:tr>
        <w:tc>
          <w:tcPr>
            <w:tcW w:type="dxa" w:w="8788"/>
            <w:shd w:val="clear" w:color="auto" w:fill="f2f1ec"/>
          </w:tcPr>
          <w:p>
            <w:pPr>
              <w:spacing w:after="40" w:before="40"/>
            </w:pPr>
            <w:r>
              <w:rPr>
                <w:rFonts w:ascii="Consolas" w:hAnsi="Consolas"/>
                <w:sz w:val="18"/>
              </w:rPr>
              <w:t>New connection from 192.168.0.12:50063 on port 8883.</w:t>
              <w:br/>
            </w:r>
            <w:r>
              <w:rPr>
                <w:rFonts w:ascii="Consolas" w:hAnsi="Consolas"/>
                <w:sz w:val="18"/>
              </w:rPr>
              <w:t>New client connected from 192.168.0.12:50063 as ESP32_4505F4 (p4, c1, k120, u'homeuser').</w:t>
              <w:br/>
            </w:r>
            <w:r>
              <w:rPr>
                <w:rFonts w:ascii="Consolas" w:hAnsi="Consolas"/>
                <w:sz w:val="18"/>
              </w:rPr>
              <w:t>Client ESP32_4505F4 negotiated TLSv1.2 cipher ECDHE-RSA-AES256-GCM-SHA384</w:t>
              <w:br/>
            </w:r>
            <w:r>
              <w:rPr>
                <w:rFonts w:ascii="Consolas" w:hAnsi="Consolas"/>
                <w:sz w:val="18"/>
              </w:rPr>
              <w:t>New client connected from 192.168.0.11:50724 as ESP32_02F600 (p4, c1, k120, u'homeuser').</w:t>
            </w:r>
          </w:p>
        </w:tc>
      </w:tr>
    </w:tbl>
    <w:p>
      <w:r>
        <w:t>Log potvrđuje da se MQTTS čvor (192.168.0.12) povezuje na port 8883 uz TLS 1.2 i cipher ECDHE-RSA-AES256-GCM-SHA384, dok se obični čvor (192.168.0.11) povezuje na port 1883 bez enkripcije. Dvostruka potvrda cipher-a — iz brokera i iz snimka saobraćaja — otklanja svaku sumnju da je enkripcija zaista aktivna i ispravno pregovorena. Time je zaokružen dokazni lanac: agregirani rezultati, sirovi serijski logovi i nezavisni log brokera međusobno se slažu.</w:t>
      </w:r>
    </w:p>
    <w:p>
      <w:r>
        <w:br w:type="page"/>
      </w:r>
    </w:p>
    <w:p>
      <w:pPr>
        <w:pStyle w:val="Heading1"/>
        <w:keepNext/>
      </w:pPr>
      <w:r>
        <w:t>Diskusija</w:t>
      </w:r>
    </w:p>
    <w:p>
      <w:r>
        <w:t>Ovo poglavlje tumači izmerene rezultate i smešta ih u praktični kontekst rada Smart Home sistema, umesto da ih samo ponovi. Cilj diskusije je da odgovori na pitanje šta svaki izmereni broj zaista znači za korisnika sistema i za projektanta koji bira između neenkriptovanog i enkriptovanog transporta, da jasno razdvoji dva kvalitativno različita troška koje Transport Layer Security (TLS) sloj unosi u komunikaciju Message Queuing Telemetry Transport (MQTT) protokola, da izloži bezbednosne implikacije prelaska sa običnog MQTT-a na njegovu enkriptovanu varijantu (MQTTS), da razmotri posledice po resurse i skalabilnost, i da samokritički oceni granice do kojih izvedeni zaključci važe. Sva tumačenja oslanjaju se isključivo na vrednosti izmerene u poglavlju o rezultatima, na hardveru sa firmverom verzije v3.0.0.</w:t>
      </w:r>
    </w:p>
    <w:p>
      <w:pPr>
        <w:pStyle w:val="Heading2"/>
        <w:keepNext/>
      </w:pPr>
      <w:r>
        <w:t>Interpretacija rezultata po dimenzijama</w:t>
      </w:r>
    </w:p>
    <w:p>
      <w:r>
        <w:t>Pet mernih dimenzija — memorija, vreme povezivanja, mrežni overhead, odziv po komandi i iskorišćenost procesora — svaka nosi zaseban praktični smisao, koji se ne vidi iz golog broja. U nastavku se svaka dimenzija tumači sa stanovišta onoga što stvarno menja u ponašanju sistema i u iskustvu korisnika.</w:t>
      </w:r>
    </w:p>
    <w:p>
      <w:pPr>
        <w:pStyle w:val="Heading3"/>
        <w:keepNext/>
      </w:pPr>
      <w:r>
        <w:t>Memorijski trošak</w:t>
      </w:r>
    </w:p>
    <w:p>
      <w:r>
        <w:t xml:space="preserve">Neto memorijska cena TLS-a od približno </w:t>
      </w:r>
      <w:r>
        <w:rPr>
          <w:b/>
        </w:rPr>
        <w:t>33,3 KB</w:t>
      </w:r>
      <w:r>
        <w:t xml:space="preserve"> zadržanog heap-a znači da enkriptovani čvor, dok je veza aktivna, trajno drži oko 33 KB više radne memorije (Random Access Memory, RAM) nego neenkriptovani. U apsolutnom smislu to je oko 15% dostupnog heap-a nakon inicijalizacije Wi-Fi steka (≈217 KB), što je znatan, ali daleko od kritičnog udeo. Praktična posledica je dvostruka. Prvo, TLS ne iznuđuje nadogradnju hardvera: 33 KB udobno staje i na modul bez dodatnog PSRAM-a, pa projektant ne mora birati skuplji čip samo zbog enkripcije. Drugo, budžet aplikacione memorije mora unapred računati na tih 33 KB — čvor koji bi bez TLS-a radio na granici raspoloživog heap-a mogao bi da ga uvođenjem TLS-a probije, te je memorijska rezerva stvar koju treba planirati, a ne pretpostaviti. Sastav troška je pretežno statičan (ulazni i izlazni mbedTLS baferi, </w:t>
      </w:r>
      <w:r>
        <w:rPr>
          <w:rFonts w:ascii="Consolas" w:hAnsi="Consolas"/>
          <w:sz w:val="21"/>
        </w:rPr>
        <w:t>IN_CONTENT_LEN=16384</w:t>
      </w:r>
      <w:r>
        <w:t xml:space="preserve"> i </w:t>
      </w:r>
      <w:r>
        <w:rPr>
          <w:rFonts w:ascii="Consolas" w:hAnsi="Consolas"/>
          <w:sz w:val="21"/>
        </w:rPr>
        <w:t>OUT_CONTENT_LEN=4096</w:t>
      </w:r>
      <w:r>
        <w:t>, uz sesijsko stanje i parsiran lanac sertifikata), pa se, ako je memorija tesna, može smanjiti sužavanjem tih bafera — po ceni manje maksimalne veličine TLS zapisa.</w:t>
      </w:r>
    </w:p>
    <w:p>
      <w:r>
        <w:t>Posebno je značajno što je najveći slobodan blok identičan na oba čvora (110 592 bajta): TLS ne pogoršava fragmentaciju heap-a u ustaljenom stanju. To je važan praktičan detalj, jer fragmentacija — a ne ukupna zauzetost — najčešće ruši dugotrajne ugrađene sisteme. Trošak TLS-a je, dakle, jednokratna „bulk” alokacija predvidljive veličine, a ne postepeno rascepkavanje slobodnog prostora koje bi vodilo otkazu posle nekoliko dana rada.</w:t>
      </w:r>
    </w:p>
    <w:p>
      <w:pPr>
        <w:pStyle w:val="Heading3"/>
        <w:keepNext/>
      </w:pPr>
      <w:r>
        <w:t>Vreme povezivanja</w:t>
      </w:r>
    </w:p>
    <w:p>
      <w:r>
        <w:t xml:space="preserve">Handshake od približno </w:t>
      </w:r>
      <w:r>
        <w:rPr>
          <w:b/>
        </w:rPr>
        <w:t>0,53 s</w:t>
      </w:r>
      <w:r>
        <w:t xml:space="preserve"> korisnik oseti isključivo kao neznatno duže prvo uspostavljanje veze nakon uključivanja uređaja ili nakon ponovnog povezivanja posle prekida mreže. Budući da je predmetni Smart Home sistem sazdan od čvorova napajanih iz mreže koji se povezuju jednom i sesiju održavaju neprekidno, ovaj trošak se u normalnom radu plati jednom i praktično je nevidljiv. Slika bi bila drugačija za baterijski napajan senzor koji duboko spava i budi se često: takav uređaj bi pri svakom buđenju plaćao i pola sekunde handshake-a i pripadajuću energiju radio-dela, pa bi za takav profil rada jednokratni trošak postao ponovljiv i energetski značajan. Za arhitekturu ovog rada, sa stalno povezanim čvorovima, handshake ostaje jednokratna, prihvatljiva cena.</w:t>
      </w:r>
    </w:p>
    <w:p>
      <w:pPr>
        <w:pStyle w:val="Heading3"/>
        <w:keepNext/>
      </w:pPr>
      <w:r>
        <w:t>Mrežni overhead</w:t>
      </w:r>
    </w:p>
    <w:p>
      <w:r>
        <w:t xml:space="preserve">Dodatnih </w:t>
      </w:r>
      <w:r>
        <w:rPr>
          <w:b/>
        </w:rPr>
        <w:t>29 bajtova</w:t>
      </w:r>
      <w:r>
        <w:t xml:space="preserve"> po poruci proporcionalno je mnogo za sitne IoT (Internet of Things) payload-e (+64%), ali apsolutno je reč o desetinama bajtova, i taj AEAD (Authenticated Encryption with Associated Data) okvir je konstantan — ne raste s brojem poruka. Na Wi-Fi/LAN vezi kakva se koristi u ovom sistemu propusni opseg nije ograničavajući činilac, pa je ovaj overhead praktično nebitan. Postao bi relevantan tek na naplaćivanoj ili uskopojasnoj vezi (ćelijska mreža, LPWAN), gde bi +64% po poruci osetno uvećao troškove prenosa. Ukupan saobraćaj TLS sesije je oko 3,1 puta veći, ali najveći deo te razlike otpada na jednokratni handshake (≈6 KB), a ne na po-poruci cenu — što je još jedan primer zašto se te dve komponente moraju razdvajati pri tumačenju.</w:t>
      </w:r>
    </w:p>
    <w:p>
      <w:pPr>
        <w:pStyle w:val="Heading3"/>
        <w:keepNext/>
      </w:pPr>
      <w:r>
        <w:t>Odziv po komandi</w:t>
      </w:r>
    </w:p>
    <w:p>
      <w:r>
        <w:t>Trošak od svega ≈1,2 ms na srednju vrednost i ≈7,5 ms na 95. percentil odziva praktično je neprimetan: prag ljudske percepcije kašnjenja u interakciji reda je stotinu milisekundi, pa razlika od jednog milisekunda ne postoji za korisnika. Ključno je razumeti odakle dolazi apsolutni „pod” odziva od približno 158 ms. On nije posledica ni TLS-a ni brokera, nego Wi-Fi štednje energije (modem-sleep) na ESP32: uređaj u štednji budi radio-deo tek na DTIM beacon, pa nishodna komanda čeka do sledećeg beacon prozora. Dokaz je to što neenkriptovani kanal ima identičan pod — da je TLS krivac, ta dva poda bi se razlikovala. Iz ovoga sledi jasna praktična pouka: ako bi se odziv želeo dodatno sniziti, to bi se postiglo isključivanjem Wi-Fi štednje (po ceni veće potrošnje), a nikako uklanjanjem TLS-a, koji odzivu ne doprinosi gotovo ništa.</w:t>
      </w:r>
    </w:p>
    <w:p>
      <w:pPr>
        <w:pStyle w:val="Heading3"/>
        <w:keepNext/>
      </w:pPr>
      <w:r>
        <w:t>Iskorišćenost procesora</w:t>
      </w:r>
    </w:p>
    <w:p>
      <w:r>
        <w:t>Porast opterećenja procesora (Central Processing Unit, CPU) od oko šest procentnih poena u prozoru povezivanja (34% naspram 28%) tranzijentan je i jednokratan — to je isti onaj asimetrični deo handshake-a (ECDHE razmena, RSA-2048 verifikacija, parsiranje sertifikata) koji daje i 0,53 s vremena povezivanja. U ustaljenom stanju oba čvora padaju na prosek od ≈1%, pri čemu enkriptovani čvor pokazuje samo pravilne skokove od ≈2% na svakih 30 s, koliko traje AES-256-GCM enkripcija periodičnog temperaturnog PUBLISH-a. Sintetički test opterećenja na neenkriptovanom čvoru (≈1312 komandi za ≈45 s, oko 29 komandi u sekundi) podigao je prosek na svega ≈14%. Praktičan zaključak je da TLS ni izbliza ne ugrožava vremenski determinizam sistema: procesorska rezerva je ogromna, pa čvor može istovremeno da nosi enkripciju i znatno bogatiju aplikacionu logiku bez opasnosti od zasićenja.</w:t>
      </w:r>
    </w:p>
    <w:p>
      <w:pPr>
        <w:pStyle w:val="Heading2"/>
        <w:keepNext/>
      </w:pPr>
      <w:r>
        <w:t>Dva različita troška: jednokratni vs po-komandi</w:t>
      </w:r>
    </w:p>
    <w:p>
      <w:r>
        <w:t xml:space="preserve">Najvažnija konceptualna distinkcija u tumačenju ovih rezultata jeste razdvajanje dva kvalitativno različita troška koja TLS unosi i koja se ni pod kojim uslovima ne smeju sabirati. Prvi je jednokratni trošak povezivanja: TLS handshake od približno </w:t>
      </w:r>
      <w:r>
        <w:rPr>
          <w:b/>
        </w:rPr>
        <w:t>0,53 s</w:t>
      </w:r>
      <w:r>
        <w:t xml:space="preserve">, koji se plaća jednom pri svakom uspostavljanju veze i koji dominira skupim asimetričnim kriptografskim operacijama (ECDHE razmena ključeva, provera RSA-2048 potpisa servera, parsiranje lanca sertifikata). Drugi je po-komandni trošak u ustaljenom stanju: približno </w:t>
      </w:r>
      <w:r>
        <w:rPr>
          <w:b/>
        </w:rPr>
        <w:t>1 ms</w:t>
      </w:r>
      <w:r>
        <w:t>, koji potiče isključivo od simetrične AES-GCM operacije, hardverski ubrzane i reda mikrosekundi.</w:t>
      </w:r>
    </w:p>
    <w:p>
      <w:r>
        <w:t>Ova dva broja razlikuju se za oko tri reda veličine i nastaju iz suštinski različitih delova protokola, pa njihovo mešanje vodi grubo pogrešnom zaključku. Tipična greška u rasuđivanju bila bi pripisati handshake svakoj komandi i zaključiti da TLS „dodaje pola sekunde na svaku komandu” — što je neistinito, jer se sesija održava i handshake se ne ponavlja po poruci. Upravo se na taj drugi, po-komandni trošak odnosi granica iz hipoteze:</w:t>
      </w:r>
    </w:p>
    <w:p>
      <w:pPr>
        <w:pStyle w:val="IntenseQuote"/>
      </w:pPr>
      <w:r>
        <w:t>Uprkos merljivim opterećenjima (RAM, latencija/veličina paketa, vreme handshake-a), degradacija performansi ostaje unutar prihvatljivih granica (odziv &lt; 200 ms) za normalno funkcionisanje Smart Home sistema — bezbednost se drastično povećava bez narušavanja korisničkog iskustva.</w:t>
      </w:r>
    </w:p>
    <w:p>
      <w:r>
        <w:t>Granica od 200 ms tumači se, dakle, kao granica po-komandnog odziva, koji je izmeren na 190 ms u 95. percentilu na enkriptovanom kanalu — unutar granice. Jednokratni handshake je zaseban trošak koji korisnik oseti najviše kao neznatno duže prvo povezivanje i koji se amortizuje kroz ceo vek perzistentne sesije (uz keepalive). Uslov pod kojim bi ova distinkcija pukla poznat je i eksplicitan: kada bi se sistem ponovo povezivao pred svaku komandu, svaka komanda bi povlačila nov handshake i 95. percentil bi sigurno probio 200 ms. Takvo ponašanje, međutim, nije primećeno — sesija je perzistentna, pa handshake ostaje van po-komandnog puta.</w:t>
      </w:r>
    </w:p>
    <w:p>
      <w:pPr>
        <w:pStyle w:val="Heading2"/>
        <w:keepNext/>
      </w:pPr>
      <w:r>
        <w:t>Bezbednosne implikacije</w:t>
      </w:r>
    </w:p>
    <w:p>
      <w:r>
        <w:t>Kvantitativni troškovi TLS-a moraju se odmeriti prema bezbednosnom dobitku, a taj dobitak u ovom sistemu nije teorijski nego izmeren i vizuelno očigledan. Na portu 1883 (obični MQTT) pasivno snimanje saobraćaja običnim alatom (</w:t>
      </w:r>
      <w:r>
        <w:rPr>
          <w:rFonts w:ascii="Consolas" w:hAnsi="Consolas"/>
          <w:sz w:val="21"/>
        </w:rPr>
        <w:t>tcpdump</w:t>
      </w:r>
      <w:r>
        <w:t>) i rekonstrukcija toka otkrivaju ceo razgovor u čistom tekstu. U paketu CONNECT golim okom se vide klijentski identifikator, svi topici i — kritično — MQTT kredencijali, korisničko ime i lozinka, kako pokazuje naredni isečak iz snimljenog toka:</w:t>
      </w:r>
    </w:p>
    <w:tbl>
      <w:tblPr>
        <w:tblStyle w:val="TableGrid"/>
        <w:tblW w:type="auto" w:w="0"/>
        <w:jc w:val="center"/>
        <w:tblLayout w:type="fixed"/>
        <w:tblLook w:firstColumn="1" w:firstRow="1" w:lastColumn="0" w:lastRow="0" w:noHBand="0" w:noVBand="1" w:val="04A0"/>
        <w:tblLayout w:type="fixed"/>
        <w:tblW w:w="9072" w:type="dxa"/>
      </w:tblPr>
      <w:tblGrid>
        <w:gridCol w:w="8788"/>
      </w:tblGrid>
      <w:tr>
        <w:tc>
          <w:tcPr>
            <w:tcW w:type="dxa" w:w="8788"/>
            <w:shd w:val="clear" w:color="auto" w:fill="f2f1ec"/>
          </w:tcPr>
          <w:p>
            <w:pPr>
              <w:spacing w:after="40" w:before="40"/>
            </w:pPr>
            <w:r>
              <w:rPr>
                <w:rFonts w:ascii="Consolas" w:hAnsi="Consolas"/>
                <w:sz w:val="18"/>
              </w:rPr>
              <w:t>....MQTT....ESP32_02F600..home/lights/status..offline..homeuser..N7kQ2pX9</w:t>
              <w:br/>
            </w:r>
            <w:r>
              <w:rPr>
                <w:rFonts w:ascii="Consolas" w:hAnsi="Consolas"/>
                <w:sz w:val="18"/>
              </w:rPr>
              <w:t xml:space="preserve">                                                        ^^^^^^^^   ^^^^^^^^</w:t>
              <w:br/>
            </w:r>
            <w:r>
              <w:rPr>
                <w:rFonts w:ascii="Consolas" w:hAnsi="Consolas"/>
                <w:sz w:val="18"/>
              </w:rPr>
              <w:t xml:space="preserve">                                              korisnicko ime + lozinka (cist tekst)</w:t>
            </w:r>
          </w:p>
        </w:tc>
      </w:tr>
    </w:tbl>
    <w:p>
      <w:r>
        <w:t xml:space="preserve">Posledica je konkretna i ozbiljna. Bilo ko sa pristupom mreži ili putanji saobraćaja može pasivno, bez ijednog poslatog paketa, pročitati kredencijale </w:t>
      </w:r>
      <w:r>
        <w:rPr>
          <w:rFonts w:ascii="Consolas" w:hAnsi="Consolas"/>
          <w:sz w:val="21"/>
        </w:rPr>
        <w:t>homeuser</w:t>
      </w:r>
      <w:r>
        <w:t>/</w:t>
      </w:r>
      <w:r>
        <w:rPr>
          <w:rFonts w:ascii="Consolas" w:hAnsi="Consolas"/>
          <w:sz w:val="21"/>
        </w:rPr>
        <w:t>N7kQ2pX9</w:t>
      </w:r>
      <w:r>
        <w:t>. Pošto su u istom saobraćaju vidljivi i svi komandni topici (</w:t>
      </w:r>
      <w:r>
        <w:rPr>
          <w:rFonts w:ascii="Consolas" w:hAnsi="Consolas"/>
          <w:sz w:val="21"/>
        </w:rPr>
        <w:t>.../set</w:t>
      </w:r>
      <w:r>
        <w:t>), napadač sa tim kredencijalima stiče potpunu kontrolu nad sistemom: može paliti i gasiti svetla, ubrizgavati lažne temperaturne vrednosti, pa i pokrenuti OTA nadogradnju. Reč je, dakle, o ranjivosti koja je istovremeno trivijalno iskoristiva i visokog uticaja — najgora moguća kombinacija sa stanovišta upravljanja rizikom.</w:t>
      </w:r>
    </w:p>
    <w:p>
      <w:r>
        <w:t xml:space="preserve">MQTTS ovu ranjivost u potpunosti eliminiše. Nakon handshake-a sav saobraćaj su neprozirni TLS zapisi tipa Application Data — nula čitljivih MQTT tokena, kredencijali i payload-i enkriptovani algoritmom AES-256-GCM. Uz poverljivost, MQTTS donosi i dva svojstva koja pasivni napad čine bezvrednim i u budućnosti. Razmena ključeva ECDHE obezbeđuje forward secrecy: čak i ako bi privatni RSA ključ servera kasnije bio kompromitovan, njime se ne mogu dešifrovati ranije snimljene sesije, jer je efemerni ključ sesije već odbačen. Puna verifikacija lanca sertifikata (RSA-2048, </w:t>
      </w:r>
      <w:r>
        <w:rPr>
          <w:rFonts w:ascii="Consolas" w:hAnsi="Consolas"/>
          <w:sz w:val="21"/>
        </w:rPr>
        <w:t>Verify return code: 0</w:t>
      </w:r>
      <w:r>
        <w:t>, uz CN=pihome.local i IP-SAN 192.168.0.10) sprečava napad „čovek u sredini” i lažno predstavljanje brokera. Time se za neprimetnih ≈1 ms po komandi i jednokratnih pola sekunde po povezivanju uklanja ranjivost koja bi inače značila potpuni gubitak kontrole nad sistemom — asimetrija troška i dobiti izrazito je povoljna.</w:t>
      </w:r>
    </w:p>
    <w:p>
      <w:r>
        <w:t>Radi intelektualne poštenosti, valja naglasiti i domet ove zaštite. TLS obezbeđuje transport, ne krajnje tačke: kredencijali i dalje postoje, pa ostaje potreba za kontrolom pristupa na brokeru (ACL liste), za zaštitom samog uređaja od fizičke ili softverske kompromitacije, i za bezbednim čuvanjem tajni u firmveru. MQTTS uklanja jednu konkretnu i dokazano iskoristivu klasu napada — prisluškivanje na mreži — ali nije zamena za ostale slojeve bezbednosti sistema.</w:t>
      </w:r>
    </w:p>
    <w:p>
      <w:pPr>
        <w:pStyle w:val="Heading2"/>
        <w:keepNext/>
      </w:pPr>
      <w:r>
        <w:t>Uticaj na resurse i skalabilnost</w:t>
      </w:r>
    </w:p>
    <w:p>
      <w:r>
        <w:t>Sa stanovišta resursa uređaja, rezultati pokazuju da MQTTS udobno staje na standardnu ESP32 platformu. Zadržani trošak od približno 33 KB heap-a smešta se bez teškoća i na modul bez PSRAM-a (WROOM), a čvor koji PSRAM ima (WROVER) njime se za potrebe TLS-a i ne mora koristiti. To je važan zaključak za troškovnu stranu (Bill of Materials) Smart Home uređaja: enkripcija ne diktira izbor skupljeg čipa. Procesorska rezerva je jednako komotna — u ustaljenom stanju oba čvora troše oko 1% CPU-a, a i pod sintetičkim opterećenjem od oko 29 komandi u sekundi opterećenje ostaje na oko 14%, daleko od zasićenja. Enkriptovani čvor nosi tek jedan dodatni FreeRTOS task (za TLS) i pri tom nijedan task nema kritično malo prostora na steku.</w:t>
      </w:r>
    </w:p>
    <w:p>
      <w:r>
        <w:t>Skalabilnost ima dve strane koje treba razmotriti odvojeno. Na strani uređaja trošak je po prirodi lokalan i predvidljiv: svaki čvor nezavisno plaća fiksnih ≈33 KB memorije i po jedan handshake po povezivanju, bez ikakve međusobne interakcije, pa broj čvorova skalira linearno i bez iznenađenja. Na strani brokera situacija je složenija i ovim merenjem nije direktno obuhvaćena: svaka TLS veza košta broker jednog handshake-a (procesorski) i pripadajućeg sesijskog stanja (memorijski). Za razmere domaćinstva — reda desetina uređaja — na Raspberry Pi 4 platformi to je zanemarljivo, ali pri znatno većem broju istovremenih povezivanja procesorski trošak TLS handshake-a i memorija sesija na brokeru mogli bi postati ograničavajući činilac; to ostaje predmet za buduća merenja. Treba dodati i da autentifikacija na brokeru (pbkdf2 heš uz poziv ka pozadinskom servisu) unosi latenciju po povezivanju koja pogađa oba kanala podjednako, pa nije specifičan trošak TLS-a.</w:t>
      </w:r>
    </w:p>
    <w:p>
      <w:pPr>
        <w:pStyle w:val="Heading2"/>
        <w:keepNext/>
      </w:pPr>
      <w:r>
        <w:t>Ograničenja i pretnje validnosti</w:t>
      </w:r>
    </w:p>
    <w:p>
      <w:r>
        <w:t>Radi intelektualne poštenosti, izvedeni zaključci moraju se ograditi nizom uslova pod kojima su merenja izvedena i pretnji njihovoj validnosti. Nijedno od navedenih ograničenja ne obara centralni nalaz rada, ali svako sužava opseg u kojem se on sme uopštavati.</w:t>
      </w:r>
    </w:p>
    <w:p>
      <w:r>
        <w:t>Prvo, apsolutni „pod” odziva potiče od Wi-Fi štednje energije, a ne od protokola. Izmerenih ≈158 ms posledica je ESP32 modem-sleep režima, a ne ni brokera ni TLS-a; merenje reflektuje podrazumevanu konfiguraciju uređaja, koja jeste realan Smart Home scenario, ali bi se sa isključenom štednjom odziv znatno spustio (uz veću potrošnju). Zaključci o TLS trošku odzivu izvode se iz razlike dva kanala, a ne iz apsolutne vrednosti, pa ovaj pod ne kvari poređenje — ali apsolutni broj se ne sme tumačiti kao granica koju nameće protokol.</w:t>
      </w:r>
    </w:p>
    <w:p>
      <w:r>
        <w:t>Drugo, po-komandni TLS odziv meren je na deonici klijent↔broker, jer je enkriptovani čvor u izvedenoj varijanti samo-senzor, bez komandnog topica. Handshake, memorijski i mrežni troškovi mereni su na stvarnoj TLS konekciji enkriptovanog čvora, dok je po-poruci TLS trošak u ustaljenom stanju simetrična AES-GCM operacija (hardverski, reda mikrosekundi), pa je deonica uređaj↔broker po odzivu ekvivalentna izmerenoj. Puna verifikacija sertifikata pri tom je potvrđena (</w:t>
      </w:r>
      <w:r>
        <w:rPr>
          <w:rFonts w:ascii="Consolas" w:hAnsi="Consolas"/>
          <w:sz w:val="21"/>
        </w:rPr>
        <w:t>Verify return code: 0</w:t>
      </w:r>
      <w:r>
        <w:t>).</w:t>
      </w:r>
    </w:p>
    <w:p>
      <w:r>
        <w:t>Treće, merenje je izvedeno sa jednim brokerom, na tihoj lokalnoj mreži i sa umerenim brojem uzoraka (30 boot-ciklusa po čvoru, 100 uzoraka po kanalu za odziv). Veći broj uzoraka ili radio-šum proširili bi repove distribucija, dok centralne vrednosti (srednja i medijana) ostaju stabilne; zaključci se stoga oslanjaju na centralne vrednosti i na 95. percentil, a ne na pojedinačne ekstreme.</w:t>
      </w:r>
    </w:p>
    <w:p>
      <w:r>
        <w:t>Četvrto, vremena povezivanja izmerena su iz hladnog boot-a, koji uključuje i Wi-Fi asocijaciju; „topli” reconnect bez ponovne asocijacije mogao bi biti brži, pa prijavljeni handshake predstavlja konzervativnu (gornju) procenu. Unakrsno oduzimanje dva kanala ublažava i ovaj efekat, jer se zajednička komponenta poništava.</w:t>
      </w:r>
    </w:p>
    <w:p>
      <w:r>
        <w:t>Peto, na uređaju je korišćen TLS 1.2 (mbedTLS), a ne TLS 1.3; svi „device” brojevi važe za TLS 1.2 i cipher ECDHE-RSA-AES256-GCM-SHA384. Kako TLS 1.3 smanjuje broj kružnih razmena u handshake-u (1-RTT, uz mogućnost 0-RTT), realno je očekivati da bi na njemu handshake bio kraći od izmerenih 0,53 s — što izmerene vrednosti čini konzervativnom gornjom granicom troška povezivanja, a ne njegovom najboljom mogućom vrednošću.</w:t>
      </w:r>
    </w:p>
    <w:p>
      <w:r>
        <w:t>Šesto, dva čvora nisu hardverski identična: neenkriptovani je WROOM (ESP32-D0WDQ6), a enkriptovani WROVER (ESP32-D0WD, sa PSRAM-om). Time je poređenje po protokolu delimično pomešano sa razlikom u pločama. Taj rizik je ublažen činjenicom da oba modula dele isto dvojezgarno LX6 jezgro na 240 MHz, pa izolovani TLS trošak (+33 KB RAM-a i +6% CPU-a u prozoru povezivanja) daleko prevazilazi bilo koju razliku između samih čipova; dodatno, unakrsna validacija agregata sa sirovim serijskim logovima iz pojedinačnih boot-ova potvrđuje iste vrednosti, čime se pomešanost svodi na zanemarljivu.</w:t>
      </w:r>
    </w:p>
    <w:p>
      <w:r>
        <w:t>Konačno, promenljiva latencija koju autentifikacija na brokeru (pbkdf2 heš i poziv ka pozadinskom servisu) dodaje razmeni CONNACK-a zajednička je obema kanalima. Ona povećava disperziju izmerenih vremena povezivanja, ali se u unakrsnom oduzimanju poništava, pa ne narušava poređenje TLS naspram običnog MQTT-a.</w:t>
      </w:r>
    </w:p>
    <w:p>
      <w:r>
        <w:t>Sagledana zajedno, ova ograničenja pomeraju pojedine apsolutne vrednosti (pre svega pod odziva i vreme povezivanja), ali ne diraju u nosivi zaključak rada: izolovani trošak TLS-a je merljiv, ograničen i poznat, po-komandni odziv ostaje ispod 200 ms, a bezbednosni dobitak je nesrazmerno velik u odnosu na tu cenu.</w:t>
      </w:r>
    </w:p>
    <w:p>
      <w:r>
        <w:br w:type="page"/>
      </w:r>
    </w:p>
    <w:p>
      <w:pPr>
        <w:pStyle w:val="Heading1"/>
        <w:keepNext/>
      </w:pPr>
      <w:r>
        <w:t>Provera hipoteze</w:t>
      </w:r>
    </w:p>
    <w:p>
      <w:r>
        <w:t>Ovo poglavlje formalno proverava hipotezu postavljenu na početku rada, oslanjajući se isključivo na vrednosti izmerene u prethodnom poglavlju o rezultatima i analizi. Provera se sprovodi razlaganjem hipoteze na pojedinačne, proverljive tvrdnje, njihovim suočavanjem sa izmerenim dokazima i, na kraju, izvođenjem jednoznačnog suda o tome da li hipoteza opstaje. Poseban naglasak stavlja se na razdvajanje dva kvalitativno različita troška koje transportni sloj bezbednosti unosi, jer se hipoteza odnosi samo na jedan od njih.</w:t>
      </w:r>
    </w:p>
    <w:p>
      <w:pPr>
        <w:pStyle w:val="Heading2"/>
        <w:keepNext/>
      </w:pPr>
      <w:r>
        <w:t>Ponovljena hipoteza</w:t>
      </w:r>
    </w:p>
    <w:p>
      <w:r>
        <w:t>Radi preglednosti provere, hipoteza se navodi u celini, onako kako je izvorno formulisana:</w:t>
      </w:r>
    </w:p>
    <w:p>
      <w:pPr>
        <w:pStyle w:val="IntenseQuote"/>
      </w:pPr>
      <w:r>
        <w:t>Uprkos merljivim opterećenjima (RAM, latencija/veličina paketa, vreme handshake-a), degradacija performansi ostaje unutar prihvatljivih granica (odziv &lt; 200 ms) za normalno funkcionisanje Smart Home sistema — bezbednost se drastično povećava bez narušavanja korisničkog iskustva.</w:t>
      </w:r>
    </w:p>
    <w:p>
      <w:r>
        <w:t>Hipoteza objedinjuje dve nezavisne tvrdnje koje se moraju proveriti odvojeno. Prva priznaje da enkripcija donosi merljiv trošak i traži samo da degradacija performansi ostane unutar prihvatljivih granica, pri čemu je granica eksplicitno kvantifikovana kao odziv ispod 200 ms. Druga tvrdi da se, po toj ceni, bezbednost drastično povećava, i to bez narušavanja korisničkog iskustva. Provera koja sledi razlaže obe tvrdnje na četiri proverljive stavke.</w:t>
      </w:r>
    </w:p>
    <w:p>
      <w:pPr>
        <w:pStyle w:val="Heading2"/>
        <w:keepNext/>
      </w:pPr>
      <w:r>
        <w:t>Provera po tvrdnjama</w:t>
      </w:r>
    </w:p>
    <w:p>
      <w:r>
        <w:t>Naredna tabela suočava svaku pojedinačnu tvrdnju sadržanu u hipotezi sa odgovarajućim izmerenim dokazom i daje sud o njenoj ispunjenosti. Svi navedeni brojevi preuzeti su iz izmerenih rezultata: n=30 boot-ciklusa po čvoru za memoriju i vreme povezivanja, n=100 po kanalu za odziv, uz snimak od 126 paketa za mrežnu analizu.</w:t>
      </w:r>
    </w:p>
    <w:p>
      <w:pPr>
        <w:spacing w:before="80" w:after="80"/>
        <w:jc w:val="left"/>
        <w:keepNext/>
      </w:pPr>
      <w:r>
        <w:rPr>
          <w:b/>
          <w:i/>
          <w:sz w:val="19"/>
        </w:rPr>
        <w:t xml:space="preserve">Tabela 27. </w:t>
      </w:r>
      <w:r>
        <w:rPr>
          <w:i/>
          <w:sz w:val="19"/>
        </w:rPr>
        <w:t>Provera pojedinačnih tvrdnji hipoteze naspram izmerenih dokaza</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shd w:val="clear" w:color="auto" w:fill="1f3864"/>
            <w:vAlign w:val="center"/>
          </w:tcPr>
          <w:p>
            <w:pPr>
              <w:spacing w:after="40" w:before="40"/>
              <w:jc w:val="center"/>
            </w:pPr>
            <w:r>
              <w:rPr>
                <w:b/>
                <w:color w:val="FFFFFF"/>
                <w:sz w:val="19"/>
              </w:rPr>
              <w:t>Tvrdnja</w:t>
            </w:r>
          </w:p>
        </w:tc>
        <w:tc>
          <w:tcPr>
            <w:tcW w:type="dxa" w:w="2929"/>
            <w:shd w:val="clear" w:color="auto" w:fill="1f3864"/>
            <w:vAlign w:val="center"/>
          </w:tcPr>
          <w:p>
            <w:pPr>
              <w:spacing w:after="40" w:before="40"/>
              <w:jc w:val="center"/>
            </w:pPr>
            <w:r>
              <w:rPr>
                <w:b/>
                <w:color w:val="FFFFFF"/>
                <w:sz w:val="19"/>
              </w:rPr>
              <w:t>Izmereni dokaz</w:t>
            </w:r>
          </w:p>
        </w:tc>
        <w:tc>
          <w:tcPr>
            <w:tcW w:type="dxa" w:w="2929"/>
            <w:shd w:val="clear" w:color="auto" w:fill="1f3864"/>
            <w:vAlign w:val="center"/>
          </w:tcPr>
          <w:p>
            <w:pPr>
              <w:spacing w:after="40" w:before="40"/>
              <w:jc w:val="center"/>
            </w:pPr>
            <w:r>
              <w:rPr>
                <w:b/>
                <w:color w:val="FFFFFF"/>
                <w:sz w:val="19"/>
              </w:rPr>
              <w:t>Ispunjeno</w:t>
            </w:r>
          </w:p>
        </w:tc>
      </w:tr>
      <w:tr>
        <w:tc>
          <w:tcPr>
            <w:tcW w:type="dxa" w:w="2929"/>
            <w:vAlign w:val="center"/>
          </w:tcPr>
          <w:p>
            <w:pPr>
              <w:spacing w:after="20" w:before="20"/>
            </w:pPr>
            <w:r>
              <w:rPr>
                <w:b/>
                <w:sz w:val="19"/>
              </w:rPr>
              <w:t>Transportni sloj bezbednosti (TLS) unosi merljivo opterećenje</w:t>
            </w:r>
          </w:p>
        </w:tc>
        <w:tc>
          <w:tcPr>
            <w:tcW w:type="dxa" w:w="2929"/>
            <w:vAlign w:val="center"/>
          </w:tcPr>
          <w:p>
            <w:pPr>
              <w:spacing w:after="20" w:before="20"/>
            </w:pPr>
            <w:r>
              <w:rPr>
                <w:sz w:val="19"/>
              </w:rPr>
              <w:t>Zadržani heap +33,3 KB; TLS handshake +528 ms (median, jednokratno po povezivanju); +29 B po PUBLISH-u (+64%); približno 3,1× bajtova po sesiji.</w:t>
            </w:r>
          </w:p>
        </w:tc>
        <w:tc>
          <w:tcPr>
            <w:tcW w:type="dxa" w:w="2929"/>
            <w:vAlign w:val="center"/>
          </w:tcPr>
          <w:p>
            <w:pPr>
              <w:spacing w:after="20" w:before="20"/>
            </w:pPr>
            <w:r>
              <w:rPr>
                <w:sz w:val="19"/>
              </w:rPr>
              <w:t>DA</w:t>
            </w:r>
          </w:p>
        </w:tc>
      </w:tr>
      <w:tr>
        <w:tc>
          <w:tcPr>
            <w:tcW w:type="dxa" w:w="2929"/>
            <w:vAlign w:val="center"/>
          </w:tcPr>
          <w:p>
            <w:pPr>
              <w:spacing w:after="20" w:before="20"/>
            </w:pPr>
            <w:r>
              <w:rPr>
                <w:b/>
                <w:sz w:val="19"/>
              </w:rPr>
              <w:t>Odziv sistema ostaje ispod 200 ms</w:t>
            </w:r>
          </w:p>
        </w:tc>
        <w:tc>
          <w:tcPr>
            <w:tcW w:type="dxa" w:w="2929"/>
            <w:vAlign w:val="center"/>
          </w:tcPr>
          <w:p>
            <w:pPr>
              <w:spacing w:after="20" w:before="20"/>
            </w:pPr>
            <w:r>
              <w:rPr>
                <w:sz w:val="19"/>
              </w:rPr>
              <w:t>Odziv po komandi (RTT) p95 = 189,60 ms (MQTTS) i 182,11 ms (plain); srednja razlika +1,19 ms. Oba kanala su ispod 200 ms na p95.</w:t>
            </w:r>
          </w:p>
        </w:tc>
        <w:tc>
          <w:tcPr>
            <w:tcW w:type="dxa" w:w="2929"/>
            <w:vAlign w:val="center"/>
          </w:tcPr>
          <w:p>
            <w:pPr>
              <w:spacing w:after="20" w:before="20"/>
            </w:pPr>
            <w:r>
              <w:rPr>
                <w:sz w:val="19"/>
              </w:rPr>
              <w:t>DA</w:t>
            </w:r>
          </w:p>
        </w:tc>
      </w:tr>
      <w:tr>
        <w:tc>
          <w:tcPr>
            <w:tcW w:type="dxa" w:w="2929"/>
            <w:vAlign w:val="center"/>
          </w:tcPr>
          <w:p>
            <w:pPr>
              <w:spacing w:after="20" w:before="20"/>
            </w:pPr>
            <w:r>
              <w:rPr>
                <w:b/>
                <w:sz w:val="19"/>
              </w:rPr>
              <w:t>Bezbednost se drastično povećava</w:t>
            </w:r>
          </w:p>
        </w:tc>
        <w:tc>
          <w:tcPr>
            <w:tcW w:type="dxa" w:w="2929"/>
            <w:vAlign w:val="center"/>
          </w:tcPr>
          <w:p>
            <w:pPr>
              <w:spacing w:after="20" w:before="20"/>
            </w:pPr>
            <w:r>
              <w:rPr>
                <w:sz w:val="19"/>
              </w:rPr>
              <w:t>Na portu 1883 (plain) su kredencijali (korisničko ime homeuser, lozinka N7kQ2pX9) i svi payload-i čitljivi golim okom; na portu 8883 (MQTTS) je sav saobraćaj opaque (AES-256-GCM, ECDHE forward secrecy, verifikovan lanac sertifikata).</w:t>
            </w:r>
          </w:p>
        </w:tc>
        <w:tc>
          <w:tcPr>
            <w:tcW w:type="dxa" w:w="2929"/>
            <w:vAlign w:val="center"/>
          </w:tcPr>
          <w:p>
            <w:pPr>
              <w:spacing w:after="20" w:before="20"/>
            </w:pPr>
            <w:r>
              <w:rPr>
                <w:sz w:val="19"/>
              </w:rPr>
              <w:t>DA</w:t>
            </w:r>
          </w:p>
        </w:tc>
      </w:tr>
      <w:tr>
        <w:tc>
          <w:tcPr>
            <w:tcW w:type="dxa" w:w="2929"/>
            <w:vAlign w:val="center"/>
          </w:tcPr>
          <w:p>
            <w:pPr>
              <w:spacing w:after="20" w:before="20"/>
            </w:pPr>
            <w:r>
              <w:rPr>
                <w:b/>
                <w:sz w:val="19"/>
              </w:rPr>
              <w:t>Bez narušavanja korisničkog iskustva</w:t>
            </w:r>
          </w:p>
        </w:tc>
        <w:tc>
          <w:tcPr>
            <w:tcW w:type="dxa" w:w="2929"/>
            <w:vAlign w:val="center"/>
          </w:tcPr>
          <w:p>
            <w:pPr>
              <w:spacing w:after="20" w:before="20"/>
            </w:pPr>
            <w:r>
              <w:rPr>
                <w:sz w:val="19"/>
              </w:rPr>
              <w:t>Dodatnih približno 1 ms po komandi je neprimetno korisniku; jedini vidljiv trošak je približno 0,5 s duže prvo povezivanje, i to jednokratno.</w:t>
            </w:r>
          </w:p>
        </w:tc>
        <w:tc>
          <w:tcPr>
            <w:tcW w:type="dxa" w:w="2929"/>
            <w:vAlign w:val="center"/>
          </w:tcPr>
          <w:p>
            <w:pPr>
              <w:spacing w:after="20" w:before="20"/>
            </w:pPr>
            <w:r>
              <w:rPr>
                <w:sz w:val="19"/>
              </w:rPr>
              <w:t>DA</w:t>
            </w:r>
          </w:p>
        </w:tc>
      </w:tr>
    </w:tbl>
    <w:p>
      <w:r>
        <w:t>Sve četiri stavke ispunjene su na osnovu stvarno izmerenih vrednosti. Prva stavka namerno se ne osporava — cilj nije pokazati da TLS nema cenu, već da je ta cena poznata i ograničena; upravo zato je merljivo opterećenje potvrđeno kao istinito, a ne kao neuspeh. Druga stavka je odlučujuća: odziv po komandi u p95 iznosi 189,60 ms na enkriptovanom kanalu, što je unutar granice od 200 ms, dok razlika u srednjoj vrednosti u odnosu na neenkriptovani kanal iznosi svega +1,19 ms. Treća i četvrta stavka zajedno pokazuju da je dobitak u bezbednosti nesrazmerno velik u odnosu na neprimetan gubitak u odzivu.</w:t>
      </w:r>
    </w:p>
    <w:p>
      <w:pPr>
        <w:pStyle w:val="Heading2"/>
        <w:keepNext/>
      </w:pPr>
      <w:r>
        <w:t>Uslovi pod kojima bi hipoteza pala</w:t>
      </w:r>
    </w:p>
    <w:p>
      <w:r>
        <w:t>Hipoteza nije bezuslovno tačna; njena valjanost počiva na jednoj pretpostavci o načinu rada sistema koju je važno eksplicitno navesti. Ključni izmereni trošak transportnog sloja bezbednosti — TLS handshake od približno 0,53 s — plaća se jednokratno, pri svakom uspostavljanju povezivanja. Sve dok se MQTT sesija održava (perzistentna sesija uz keepalive), taj se trošak amortizuje i ne ulazi u odziv po komandi, koji tada obuhvata samo simetričnu AES-GCM operaciju reda mikrosekundi. Da sistem ne održava sesiju, već da se ponovo povezuje pred svaku komandu, svaka komanda bi povlačila nov handshake od približno pola sekunde; u tom scenariju bi p95 odziva sigurno probio granicu od 200 ms i hipoteza bi pala.</w:t>
      </w:r>
    </w:p>
    <w:p>
      <w:r>
        <w:t>Taj scenario, međutim, nije primećen u merenju. Sesija je perzistentna, pa se handshake ne ponavlja po poruci, a jedini zabeleženi TLS ispad (maksimum od 398,13 ms) predstavlja izolovan događaj ponovnog povezivanja ili retransmisije, a ne trend — mera koja se koristi za sud (p95) ostaje na 189,60 ms. Uslov pod kojim bi hipoteza pala je, dakle, poznat, ali leži van normalnog režima rada Smart Home sistema.</w:t>
      </w:r>
    </w:p>
    <w:p>
      <w:pPr>
        <w:pStyle w:val="Heading2"/>
        <w:keepNext/>
      </w:pPr>
      <w:r>
        <w:t>Zaključak o hipotezi</w:t>
      </w:r>
    </w:p>
    <w:p>
      <w:r>
        <w:t>Na osnovu suočavanja svih tvrdnji sa izmerenim dokazima, hipoteza je potvrđena. Transportni sloj bezbednosti unosi merljiv, ali ograničen trošak (zadržani heap +33,3 KB, jednokratni handshake približno +0,53 s, +29 B po poruci, približno trostruko više bajtova po sesiji i prolazni porast opterećenja procesora od oko 6% u prozoru povezivanja), dok odziv po komandi ostaje ispod 200 ms (p95 189,60 ms naspram 182,11 ms na neenkriptovanom kanalu, uz srednju razliku od svega +1,19 ms), a bezbednost se drastično povećava.</w:t>
      </w:r>
    </w:p>
    <w:p>
      <w:r>
        <w:t>Pri tumačenju ovog zaključka mora se dosledno održati distinkcija između dva troška koja se ne smeju mešati: jednokratnog handshake-a od približno 0,53 s po povezivanju i po-komandnog troška od približno 1 ms u ustaljenom stanju. Granica iz hipoteze — odziv ispod 200 ms — odnosi se isključivo na drugi, po-komandni trošak, koji je izmeren na 189,60 ms u p95. Handshake je zaseban, jednokratni trošak koji korisnik oseti najviše kao neznatno duže prvo uspostavljanje povezivanja i koji ne narušava odziv sistema tokom rada.</w:t>
      </w:r>
    </w:p>
    <w:p>
      <w:r>
        <w:br w:type="page"/>
      </w:r>
    </w:p>
    <w:p>
      <w:pPr>
        <w:pStyle w:val="Heading1"/>
        <w:keepNext/>
      </w:pPr>
      <w:r>
        <w:t>Zaključak</w:t>
      </w:r>
    </w:p>
    <w:p>
      <w:r>
        <w:t xml:space="preserve">Ovaj rad bavio se kvantifikacijom troška koji sloj Transport Layer Security (TLS) unosi u komunikaciju zasnovanu na Message Queuing Telemetry Transport (MQTT) protokolu na resursno ograničenim ESP32 čvorovima, kao i proverom da li odziv sistema, uprkos tom trošku, ostaje ispod praga od </w:t>
      </w:r>
      <w:r>
        <w:rPr>
          <w:b/>
        </w:rPr>
        <w:t>200 ms</w:t>
      </w:r>
      <w:r>
        <w:t xml:space="preserve"> neophodnog za prirodan doživljaj Smart Home sistema. Merenje je izvedeno kao kontrolisano poređenje dve grane istog sistema: referentne grane sa nešifrovanim MQTT-om i grane sa MQTT-om preko TLS-a (MQTTS), pri čemu je razlika u transportu izolovana unakrsnim oduzimanjem tako da se izmereni trošak može pripisati isključivo sigurnosnom sloju.</w:t>
      </w:r>
    </w:p>
    <w:p>
      <w:pPr>
        <w:pStyle w:val="Heading2"/>
        <w:keepNext/>
      </w:pPr>
      <w:r>
        <w:t>Rezime rada i doprinosi</w:t>
      </w:r>
    </w:p>
    <w:p>
      <w:r>
        <w:t>U okviru rada implementiran je i pušten u rad realan Smart Home sistem od dva ESP32 čvora i Raspberry Pi računara koji ugošćuje Home Assistant i Eclipse Mosquitto broker. Čvor zadužen za upravljanje relejima svetla (</w:t>
      </w:r>
      <w:r>
        <w:rPr>
          <w:rFonts w:ascii="Consolas" w:hAnsi="Consolas"/>
          <w:sz w:val="21"/>
        </w:rPr>
        <w:t>esp1_lights</w:t>
      </w:r>
      <w:r>
        <w:t>) komunicira nešifrovano preko porta 1883 i služi kao referentna tačka, dok čvor koji objavljuje simulirane temperaturne vrednosti (</w:t>
      </w:r>
      <w:r>
        <w:rPr>
          <w:rFonts w:ascii="Consolas" w:hAnsi="Consolas"/>
          <w:sz w:val="21"/>
        </w:rPr>
        <w:t>esp2_temperature</w:t>
      </w:r>
      <w:r>
        <w:t>) komunicira preko TLS-a na portu 8883 i predstavlja predmet analize. Oba čvora izvršavaju isti firmver (verzija v3.0.0, ESP-IDF 5.5.0), a entiteti se u Home Assistant-u sami pojavljuju preko mehanizma MQTT Discovery, čime je dobijen sistem koji verno odslikava tipičnu produkcijsku postavku.</w:t>
      </w:r>
    </w:p>
    <w:p>
      <w:r>
        <w:t>Sistem je izmeren duž pet nezavisnih dimenzija na živom hardveru, bez oslanjanja na simulaciju ili procenu, uz reprodukovane sirove logove sa sva tri fizička uređaja. Izolovani trošak TLS-a po svakoj dimenziji jeste sledeći:</w:t>
      </w:r>
    </w:p>
    <w:p>
      <w:pPr>
        <w:pStyle w:val="ListBullet"/>
      </w:pPr>
      <w:r>
        <w:t xml:space="preserve">zauzeće radne memorije (heap): TLS zadržava dodatnih </w:t>
      </w:r>
      <w:r>
        <w:rPr>
          <w:b/>
        </w:rPr>
        <w:t>33,3 KB</w:t>
      </w:r>
      <w:r>
        <w:t xml:space="preserve"> (oko 15% raspoloživog heap-a nakon inicijalizacije Wi-Fi-ja), pri čemu najveći slobodan blok ostaje nepromenjen na oba čvora (110 592 B) — dakle bez pogoršanja fragmentacije, jer je reč o „bulk" alokaciji mbedTLS bafera i sesijskog stanja;</w:t>
      </w:r>
    </w:p>
    <w:p>
      <w:pPr>
        <w:pStyle w:val="ListBullet"/>
      </w:pPr>
      <w:r>
        <w:t xml:space="preserve">vreme uspostavljanja veze: TLS handshake dodaje </w:t>
      </w:r>
      <w:r>
        <w:rPr>
          <w:b/>
        </w:rPr>
        <w:t>+528 ms</w:t>
      </w:r>
      <w:r>
        <w:t xml:space="preserve"> (medijana) jednokratno po povezivanju, dominantno zbog ECDHE razmene, provere RSA-2048 potpisa i parsiranja lanca sertifikata;</w:t>
      </w:r>
    </w:p>
    <w:p>
      <w:pPr>
        <w:pStyle w:val="ListBullet"/>
      </w:pPr>
      <w:r>
        <w:t xml:space="preserve">veličina poruke na žici: svaki PUBLISH nosi </w:t>
      </w:r>
      <w:r>
        <w:rPr>
          <w:b/>
        </w:rPr>
        <w:t>+29 B</w:t>
      </w:r>
      <w:r>
        <w:t xml:space="preserve"> (5 B zaglavlje TLS zapisa, 8 B eksplicitni nonce i 16 B AEAD autentifikacioni tag), uz približno trostruko veći ukupan saobraćaj po sesiji;</w:t>
      </w:r>
    </w:p>
    <w:p>
      <w:pPr>
        <w:pStyle w:val="ListBullet"/>
      </w:pPr>
      <w:r>
        <w:t xml:space="preserve">odziv po komandi (end-to-end RTT): TLS dodaje svega </w:t>
      </w:r>
      <w:r>
        <w:rPr>
          <w:b/>
        </w:rPr>
        <w:t>+1,19 ms</w:t>
      </w:r>
      <w:r>
        <w:t xml:space="preserve"> na srednju vrednost i +7,5 ms na 95. percentil;</w:t>
      </w:r>
    </w:p>
    <w:p>
      <w:pPr>
        <w:pStyle w:val="ListBullet"/>
      </w:pPr>
      <w:r>
        <w:t xml:space="preserve">iskorišćenost procesora: TLS uzrokuje prolazni skok od </w:t>
      </w:r>
      <w:r>
        <w:rPr>
          <w:b/>
        </w:rPr>
        <w:t>+6%</w:t>
      </w:r>
      <w:r>
        <w:t xml:space="preserve"> tokom povezivanja (esp2 34% naspram esp1 28%), dok u ustaljenom stanju oba čvora rade na oko 1%.</w:t>
      </w:r>
    </w:p>
    <w:p>
      <w:r>
        <w:t>Ključni empirijski nalaz jeste da je TLS jeftin u ustaljenom stanju. Nakon što je sesija jednom uspostavljena, po svakoj poruci plaća se samo simetrična operacija AES-256-GCM, hardverski ubrzana na ESP32 i reda veličine mikrosekundi; asimetrični, računski skup deo izvršava se samo jednom, tokom handshake-a. Zbog toga se merljivi trošak koncentriše u trenutku povezivanja, a ne u radu sistema — što potvrđuju i profil iskorišćenosti procesora (esp2 pokazuje pravilne skokove od oko 2% na svakih 30 s, tačno u ritmu šifrovanog temperaturnog objavljivanja) i odziv po komandi koji se od nešifrovanog razlikuje za jedva milisekundu.</w:t>
      </w:r>
    </w:p>
    <w:p>
      <w:r>
        <w:t>Time su obe tvrdnje polazne hipoteze empirijski potvrđene:</w:t>
      </w:r>
    </w:p>
    <w:p>
      <w:pPr>
        <w:pStyle w:val="IntenseQuote"/>
      </w:pPr>
      <w:r>
        <w:t>Uprkos merljivim opterećenjima (RAM, latencija/veličina paketa, vreme handshake-a), degradacija performansi ostaje unutar prihvatljivih granica (odziv &lt; 200 ms) za normalno funkcionisanje Smart Home sistema — bezbednost se drastično povećava bez narušavanja korisničkog iskustva.</w:t>
      </w:r>
    </w:p>
    <w:p>
      <w:r>
        <w:t xml:space="preserve">Odziv po komandi izmeren je na </w:t>
      </w:r>
      <w:r>
        <w:rPr>
          <w:b/>
        </w:rPr>
        <w:t>190 ms</w:t>
      </w:r>
      <w:r>
        <w:t xml:space="preserve"> na 95. percentilu za MQTTS naspram </w:t>
      </w:r>
      <w:r>
        <w:rPr>
          <w:b/>
        </w:rPr>
        <w:t>182 ms</w:t>
      </w:r>
      <w:r>
        <w:t xml:space="preserve"> za nešifrovani kanal, uz srednju razliku od svega 1,2 ms, pa obe grane ostaju ispod granice od 200 ms. Pritom se mora naglasiti distinkcija koja je centralna za tumačenje rezultata: u sistemu postoje dva suštinski različita troška. Prvi je jednokratni handshake od oko </w:t>
      </w:r>
      <w:r>
        <w:rPr>
          <w:b/>
        </w:rPr>
        <w:t>0,53 s</w:t>
      </w:r>
      <w:r>
        <w:t xml:space="preserve">, koji se plaća pri svakom povezivanju i ponovnom povezivanju; drugi je po-komandni trošak od oko </w:t>
      </w:r>
      <w:r>
        <w:rPr>
          <w:b/>
        </w:rPr>
        <w:t>1 ms</w:t>
      </w:r>
      <w:r>
        <w:t xml:space="preserve"> u ustaljenom stanju. Hipotetički prag od 200 ms odnosi se isključivo na ovaj drugi, po-komandni trošak, i upravo je on izmeren znatno ispod granice. Handshake, ma koliko merljiv, ne ulazi u odziv sistema sve dok se MQTT sesija održava perzistentnom.</w:t>
      </w:r>
    </w:p>
    <w:p>
      <w:r>
        <w:t xml:space="preserve">Poseban doprinos rada jeste snimkom dokazana ranjivost nešifrovanog MQTT-a. Analizom mrežnog snimka na portu 1883, funkcijom „Follow TCP Stream" u alatu Wireshark, golim okom se vide topici, sadržaj poruka i — kritično — MQTT kredencijali u čistom tekstu (korisničko ime </w:t>
      </w:r>
      <w:r>
        <w:rPr>
          <w:rFonts w:ascii="Consolas" w:hAnsi="Consolas"/>
          <w:sz w:val="21"/>
        </w:rPr>
        <w:t>homeuser</w:t>
      </w:r>
      <w:r>
        <w:t xml:space="preserve"> i lozinka </w:t>
      </w:r>
      <w:r>
        <w:rPr>
          <w:rFonts w:ascii="Consolas" w:hAnsi="Consolas"/>
          <w:sz w:val="21"/>
        </w:rPr>
        <w:t>N7kQ2pX9</w:t>
      </w:r>
      <w:r>
        <w:t xml:space="preserve">). Na portu 8883 isti saobraćaj vidljiv je samo kao TLS Application Data, bez ijednog čitljivog tokena. Šifra </w:t>
      </w:r>
      <w:r>
        <w:rPr>
          <w:rFonts w:ascii="Consolas" w:hAnsi="Consolas"/>
          <w:sz w:val="21"/>
        </w:rPr>
        <w:t>ECDHE-RSA-AES256-GCM-SHA384</w:t>
      </w:r>
      <w:r>
        <w:t xml:space="preserve"> nezavisno je potvrđena iz dva izvora — iz logova Mosquitto brokera i iz </w:t>
      </w:r>
      <w:r>
        <w:rPr>
          <w:rFonts w:ascii="Consolas" w:hAnsi="Consolas"/>
          <w:sz w:val="21"/>
        </w:rPr>
        <w:t>ServerHello</w:t>
      </w:r>
      <w:r>
        <w:t xml:space="preserve"> poruke u Wireshark snimku — uz punu verifikaciju lanca sertifikata (</w:t>
      </w:r>
      <w:r>
        <w:rPr>
          <w:rFonts w:ascii="Consolas" w:hAnsi="Consolas"/>
          <w:sz w:val="21"/>
        </w:rPr>
        <w:t>Verify return code: 0</w:t>
      </w:r>
      <w:r>
        <w:t>). Ovaj nalaz kvantifikuje smisao uvođenja TLS-a: prelaz sa čitljivih kredencijala na neprobojan saobraćaj postiže se uz zanemarljiv trošak po odzivu.</w:t>
      </w:r>
    </w:p>
    <w:p>
      <w:pPr>
        <w:pStyle w:val="Heading2"/>
        <w:keepNext/>
      </w:pPr>
      <w:r>
        <w:t>Praktične preporuke</w:t>
      </w:r>
    </w:p>
    <w:p>
      <w:r>
        <w:t>Na osnovu izmerenih rezultata, za produkcijske Smart Home sisteme preporučuje se korišćenje MQTTS-a kao podrazumevanog transporta. Analiza pokazuje da izloženost kredencijala i sadržaja poruka pasivnom prisluškivanju predstavlja realnu, a ne teorijsku ranjivost, dok je cena njenog otklanjanja po korisnički doživljaj neprimetna — dodatnih oko 1 ms po komandi ostaje daleko ispod praga ljudske percepcije.</w:t>
      </w:r>
    </w:p>
    <w:p>
      <w:r>
        <w:t>Preporučuje se održavanje perzistentne MQTT sesije, sa dovoljno dugim keepalive intervalom i izbegavanjem nepotrebnih ponovnih povezivanja, kako bi se jednokratni trošak handshake-a od oko 0,53 s amortizovao kroz veliki broj poruka. Arhitekture koje uspostavljaju novu vezu po svakoj komandi obesmislile bi ovu prednost, jer bi svaka komanda povlačila pun handshake i lako probila granicu od 200 ms; perzistentna sesija je stoga preduslov da izmereni povoljni odziv važi i u praksi.</w:t>
      </w:r>
    </w:p>
    <w:p>
      <w:r>
        <w:t>Memorijski i procesorski trošak TLS-a — dodatnih 33 KB heap-a i prolaznih +6% iskorišćenosti procesora tokom povezivanja — pokazuje se prihvatljivim čak i na ESP32 čipu bez spoljne PSRAM memorije. Trošak je bulk alokacija koja ne pogoršava fragmentaciju, a u ustaljenom stanju oba čvora rade na oko 1% procesora, sa velikom rezervom: pod opterećenjem od oko 29 komandi u sekundi referentni čvor dostiže tek oko 14%, bez curenja memorije i uz trenutan oporavak. Uz pravilno dimenzionisanje mbedTLS bafera, TLS udobno staje u okvire tipičnog ESP32 čvora.</w:t>
      </w:r>
    </w:p>
    <w:p>
      <w:pPr>
        <w:pStyle w:val="Heading2"/>
        <w:keepNext/>
      </w:pPr>
      <w:r>
        <w:t>Pravci daljeg rada</w:t>
      </w:r>
    </w:p>
    <w:p>
      <w:r>
        <w:t>Nekoliko pravaca prirodno se nadovezuje na rezultate ovog rada i mogao bi ih produbiti ili proširiti.</w:t>
      </w:r>
    </w:p>
    <w:p>
      <w:pPr>
        <w:pStyle w:val="ListBullet"/>
      </w:pPr>
      <w:r>
        <w:t xml:space="preserve">Otklanjanje ograničenja OTA (over-the-air) mehanizma. Utvrđeno je da on-device OTA klijent ne prati lanac preusmerenja (302 redirect) koji GitHub-ova ruta „latest/download" vraća ka potpisanom URL-u, pa nadogradnja preko mreže pada sa </w:t>
      </w:r>
      <w:r>
        <w:rPr>
          <w:rFonts w:ascii="Consolas" w:hAnsi="Consolas"/>
          <w:sz w:val="21"/>
        </w:rPr>
        <w:t>ESP_FAIL</w:t>
      </w:r>
      <w:r>
        <w:t xml:space="preserve">. Doradom klijenta da prati zaglavlje </w:t>
      </w:r>
      <w:r>
        <w:rPr>
          <w:rFonts w:ascii="Consolas" w:hAnsi="Consolas"/>
          <w:sz w:val="21"/>
        </w:rPr>
        <w:t>Location</w:t>
      </w:r>
      <w:r>
        <w:t>, uz proširenje bezbednosne allowlist provere, omogućilo bi se potpuno bežično ažuriranje umesto trenutnog flešovanja preko USB-a.</w:t>
      </w:r>
    </w:p>
    <w:p>
      <w:pPr>
        <w:pStyle w:val="ListBullet"/>
      </w:pPr>
      <w:r>
        <w:t>Prelazak na TLS 1.3, koji smanjuje broj kružnih razmena tokom handshake-a i time skraćuje jednokratni trošak povezivanja izmeren u ovom radu.</w:t>
      </w:r>
    </w:p>
    <w:p>
      <w:pPr>
        <w:pStyle w:val="ListBullet"/>
      </w:pPr>
      <w:r>
        <w:t>Ponavljanje merenja odziva sa isključenim Wi-Fi modem-sleep režimom, kako bi se „pod" RTT-a od oko 158 ms — koji potiče od buđenja radija na DTIM beacon, a ne od TLS-a ni brokera — spustio i time izolovao čist protokolarni doprinos, po ceni veće potrošnje energije.</w:t>
      </w:r>
    </w:p>
    <w:p>
      <w:pPr>
        <w:pStyle w:val="ListBullet"/>
      </w:pPr>
      <w:r>
        <w:t>Proširenje merne kampanje na veći uzorak i bučnije radio-okruženje, radi karakterizacije repova distribucije koji su pri umerenom uzorku i tihoj mreži uski.</w:t>
      </w:r>
    </w:p>
    <w:p>
      <w:pPr>
        <w:pStyle w:val="ListBullet"/>
      </w:pPr>
      <w:r>
        <w:t>Uvođenje TLS-a i na deonicu uređaj–broker za komandni topic i na sam čvor esp2, čime bi se po-komandni TLS trošak izmerio neposredno na šifrovanoj komandnoj putanji, a ne posredno preko klijentske deonice.</w:t>
      </w:r>
    </w:p>
    <w:p>
      <w:r>
        <w:t>Sveukupno, rad pokazuje da bezbednost i performanse na ESP32 čvorovima nisu suprotstavljeni ciljevi: uz perzistentnu sesiju i hardverski ubrzanu kriptografiju, šifrovanje celokupne MQTT komunikacije naplaćuje se jednim trenutkom pri povezivanju i nekolicinom kilobajta memorije, dok korisnik dobija sistem koji odgovara jednako brzo kao nešifrovani — ali koji više ne odaje svoje tajne svakome ko sluša mrežu.</w:t>
      </w:r>
    </w:p>
    <w:p>
      <w:r>
        <w:br w:type="page"/>
      </w:r>
    </w:p>
    <w:p>
      <w:pPr>
        <w:pStyle w:val="Heading1"/>
        <w:keepNext/>
      </w:pPr>
      <w:r>
        <w:t>Literatura</w:t>
      </w:r>
    </w:p>
    <w:p>
      <w:r>
        <w:t xml:space="preserve">Popis referenci obuhvata primarne izvore korišćene u ovom radu: normativne specifikacije protokola </w:t>
      </w:r>
      <w:r>
        <w:rPr>
          <w:i/>
        </w:rPr>
        <w:t>Message Queuing Telemetry Transport</w:t>
      </w:r>
      <w:r>
        <w:t xml:space="preserve"> (MQTT) i protokola </w:t>
      </w:r>
      <w:r>
        <w:rPr>
          <w:i/>
        </w:rPr>
        <w:t>Transport Layer Security</w:t>
      </w:r>
      <w:r>
        <w:t xml:space="preserve"> (TLS), pripadajuće dokumente organizacije </w:t>
      </w:r>
      <w:r>
        <w:rPr>
          <w:i/>
        </w:rPr>
        <w:t>Internet Engineering Task Force</w:t>
      </w:r>
      <w:r>
        <w:t xml:space="preserve"> (IETF) i smernice organizacije </w:t>
      </w:r>
      <w:r>
        <w:rPr>
          <w:i/>
        </w:rPr>
        <w:t>National Institute of Standards and Technology</w:t>
      </w:r>
      <w:r>
        <w:t xml:space="preserve"> (NIST), zvaničnu dokumentaciju upotrebljenih alata i biblioteka (ESP-IDF, mbedTLS, Mosquitto, Home Assistant, Paho, PlatformIO, Wireshark), kao i pregledne radove o bezbednosti MQTT komunikacije u sistemima </w:t>
      </w:r>
      <w:r>
        <w:rPr>
          <w:i/>
        </w:rPr>
        <w:t>Internet of Things</w:t>
      </w:r>
      <w:r>
        <w:t xml:space="preserve"> (IoT). Reference su navedene po IEEE stilu i redosledu prvog pojavljivanja u radu.</w:t>
      </w:r>
    </w:p>
    <w:p>
      <w:pPr>
        <w:pStyle w:val="ListNumber"/>
      </w:pPr>
      <w:r>
        <w:t>OASIS, "MQTT Version 3.1.1", OASIS Standard, 2014. Dostupno na: http://docs.oasis-open.org/mqtt/mqtt/v3.1.1/os/mqtt-v3.1.1-os.html</w:t>
      </w:r>
    </w:p>
    <w:p>
      <w:pPr>
        <w:pStyle w:val="ListNumber"/>
      </w:pPr>
      <w:r>
        <w:t>OASIS, "MQTT Version 5.0", OASIS Standard, 2019. Dostupno na: https://docs.oasis-open.org/mqtt/mqtt/v5.0/mqtt-v5.0.html</w:t>
      </w:r>
    </w:p>
    <w:p>
      <w:pPr>
        <w:pStyle w:val="ListNumber"/>
      </w:pPr>
      <w:r>
        <w:t>T. Dierks i E. Rescorla, "The Transport Layer Security (TLS) Protocol Version 1.2", RFC 5246, IETF, avgust 2008. Dostupno na: https://www.rfc-editor.org/rfc/rfc5246</w:t>
      </w:r>
    </w:p>
    <w:p>
      <w:pPr>
        <w:pStyle w:val="ListNumber"/>
      </w:pPr>
      <w:r>
        <w:t>E. Rescorla, "The Transport Layer Security (TLS) Protocol Version 1.3", RFC 8446, IETF, avgust 2018. Dostupno na: https://www.rfc-editor.org/rfc/rfc8446</w:t>
      </w:r>
    </w:p>
    <w:p>
      <w:pPr>
        <w:pStyle w:val="ListNumber"/>
      </w:pPr>
      <w:r>
        <w:t>D. McGrew, "An Interface and Algorithms for Authenticated Encryption", RFC 5116, IETF, januar 2008. Dostupno na: https://www.rfc-editor.org/rfc/rfc5116</w:t>
      </w:r>
    </w:p>
    <w:p>
      <w:pPr>
        <w:pStyle w:val="ListNumber"/>
      </w:pPr>
      <w:r>
        <w:t>K. McKay i D. Cooper, "Guidelines for the Selection, Configuration, and Use of Transport Layer Security (TLS) Implementations", NIST Special Publication 800-52 Revision 2, NIST, avgust 2019. Dostupno na: https://doi.org/10.6028/NIST.SP.800-52r2</w:t>
      </w:r>
    </w:p>
    <w:p>
      <w:pPr>
        <w:pStyle w:val="ListNumber"/>
      </w:pPr>
      <w:r>
        <w:t>M. Dworkin, "Recommendation for Block Cipher Modes of Operation: Galois/Counter Mode (GCM) and GMAC", NIST Special Publication 800-38D, NIST, novembar 2007. Dostupno na: https://doi.org/10.6028/NIST.SP.800-38D</w:t>
      </w:r>
    </w:p>
    <w:p>
      <w:pPr>
        <w:pStyle w:val="ListNumber"/>
      </w:pPr>
      <w:r>
        <w:t>E. Barker, "Recommendation for Key Management: Part 1 — General", NIST Special Publication 800-57 Part 1 Revision 5, NIST, maj 2020. Dostupno na: https://doi.org/10.6028/NIST.SP.800-57pt1r5</w:t>
      </w:r>
    </w:p>
    <w:p>
      <w:pPr>
        <w:pStyle w:val="ListNumber"/>
      </w:pPr>
      <w:r>
        <w:t>M. Fagan, K. N. Megas, K. Scarfone i M. Smith, "IoT Device Cybersecurity Capability Core Baseline", NISTIR 8259A, NIST, maj 2020. Dostupno na: https://doi.org/10.6028/NIST.IR.8259A</w:t>
      </w:r>
    </w:p>
    <w:p>
      <w:pPr>
        <w:pStyle w:val="ListNumber"/>
      </w:pPr>
      <w:r>
        <w:t>Espressif Systems, "ESP-IDF Programming Guide (v5.5)", 2025. Dostupno na: https://docs.espressif.com/projects/esp-idf/en/v5.5/</w:t>
      </w:r>
    </w:p>
    <w:p>
      <w:pPr>
        <w:pStyle w:val="ListNumber"/>
      </w:pPr>
      <w:r>
        <w:t>Espressif Systems, "ESP32 Technical Reference Manual", verzija 5.x, 2024. Dostupno na: https://www.espressif.com/sites/default/files/documentation/esp32_technical_reference_manual_en.pdf</w:t>
      </w:r>
    </w:p>
    <w:p>
      <w:pPr>
        <w:pStyle w:val="ListNumber"/>
      </w:pPr>
      <w:r>
        <w:t>Espressif Systems, "ESP32 Series Datasheet", 2024. Dostupno na: https://www.espressif.com/sites/default/files/documentation/esp32_datasheet_en.pdf</w:t>
      </w:r>
    </w:p>
    <w:p>
      <w:pPr>
        <w:pStyle w:val="ListNumber"/>
      </w:pPr>
      <w:r>
        <w:t>Mbed TLS, "Mbed TLS Documentation", TrustedFirmware.org, 2024. Dostupno na: https://mbed-tls.readthedocs.io/</w:t>
      </w:r>
    </w:p>
    <w:p>
      <w:pPr>
        <w:pStyle w:val="ListNumber"/>
      </w:pPr>
      <w:r>
        <w:t>Eclipse Foundation, "Eclipse Mosquitto — An Open Source MQTT Broker (Documentation)", 2024. Dostupno na: https://mosquitto.org/documentation/</w:t>
      </w:r>
    </w:p>
    <w:p>
      <w:pPr>
        <w:pStyle w:val="ListNumber"/>
      </w:pPr>
      <w:r>
        <w:t>Home Assistant, "MQTT Integration and MQTT Discovery", zvanična dokumentacija, 2026. Dostupno na: https://www.home-assistant.io/integrations/mqtt/</w:t>
      </w:r>
    </w:p>
    <w:p>
      <w:pPr>
        <w:pStyle w:val="ListNumber"/>
      </w:pPr>
      <w:r>
        <w:t>Eclipse Foundation, "Eclipse Paho — MQTT Python Client (paho-mqtt)", 2024. Dostupno na: https://eclipse.dev/paho/index.php?page=clients/python/index.php</w:t>
      </w:r>
    </w:p>
    <w:p>
      <w:pPr>
        <w:pStyle w:val="ListNumber"/>
      </w:pPr>
      <w:r>
        <w:t>PlatformIO, "PlatformIO Documentation", 2024. Dostupno na: https://docs.platformio.org/</w:t>
      </w:r>
    </w:p>
    <w:p>
      <w:pPr>
        <w:pStyle w:val="ListNumber"/>
      </w:pPr>
      <w:r>
        <w:t>Wireshark Foundation, "Wireshark User's Guide", 2024. Dostupno na: https://www.wireshark.org/docs/wsug_html_chunked/</w:t>
      </w:r>
    </w:p>
    <w:p>
      <w:pPr>
        <w:pStyle w:val="ListNumber"/>
      </w:pPr>
      <w:r>
        <w:t>S. Andy, B. Rahardjo i B. Hanindhito, "Attack Scenarios and Security Analysis of MQTT Communication Protocol in IoT System", u zborniku 4th International Conference on Electrical Engineering, Computer Science and Informatics (EECSI), IEEE, 2017. Dostupno na: https://doi.org/10.1109/EECSI.2017.8239179</w:t>
      </w:r>
    </w:p>
    <w:p>
      <w:pPr>
        <w:pStyle w:val="ListNumber"/>
      </w:pPr>
      <w:r>
        <w:t>M. Singh, M. A. Rajan, V. L. Shivraj i P. Balamuralidhar, "Secure MQTT for Internet of Things (IoT)", u zborniku 5th International Conference on Communication Systems and Network Technologies (CSNT), IEEE, 2015, str. 746-751. Dostupno na: https://doi.org/10.1109/CSNT.2015.16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11111"/>
      <w:sz w:val="24"/>
      <w:lang w:val="sr-Latn-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jc w:val="left"/>
      <w:outlineLvl w:val="0"/>
    </w:pPr>
    <w:rPr>
      <w:rFonts w:asciiTheme="majorHAnsi" w:eastAsiaTheme="majorEastAsia" w:hAnsiTheme="majorHAnsi" w:cstheme="majorBidi" w:ascii="Times New Roman" w:hAnsi="Times New Roman"/>
      <w:b/>
      <w:bCs/>
      <w:color w:val="1F3864"/>
      <w:sz w:val="32"/>
      <w:szCs w:val="28"/>
      <w:lang w:val="sr-Latn-RS"/>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ascii="Times New Roman" w:hAnsi="Times New Roman"/>
      <w:b/>
      <w:bCs/>
      <w:color w:val="1F3864"/>
      <w:sz w:val="28"/>
      <w:szCs w:val="26"/>
      <w:lang w:val="sr-Latn-RS"/>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Times New Roman" w:hAnsi="Times New Roman"/>
      <w:b/>
      <w:bCs/>
      <w:color w:val="1F3864"/>
      <w:sz w:val="25"/>
      <w:lang w:val="sr-Latn-RS"/>
    </w:rPr>
  </w:style>
  <w:style w:type="paragraph" w:styleId="Heading4">
    <w:name w:val="heading 4"/>
    <w:basedOn w:val="Normal"/>
    <w:next w:val="Normal"/>
    <w:link w:val="Heading4Char"/>
    <w:uiPriority w:val="9"/>
    <w:semiHidden/>
    <w:unhideWhenUsed/>
    <w:qFormat/>
    <w:rsid w:val="00FC693F"/>
    <w:pPr>
      <w:keepNext/>
      <w:keepLines/>
      <w:spacing w:before="160" w:after="80"/>
      <w:jc w:val="left"/>
      <w:outlineLvl w:val="3"/>
    </w:pPr>
    <w:rPr>
      <w:rFonts w:asciiTheme="majorHAnsi" w:eastAsiaTheme="majorEastAsia" w:hAnsiTheme="majorHAnsi" w:cstheme="majorBidi" w:ascii="Times New Roman" w:hAnsi="Times New Roman"/>
      <w:b/>
      <w:bCs/>
      <w:i/>
      <w:iCs/>
      <w:color w:val="1F3864"/>
      <w:sz w:val="24"/>
      <w:lang w:val="sr-Latn-RS"/>
    </w:rPr>
  </w:style>
  <w:style w:type="paragraph" w:styleId="Heading5">
    <w:name w:val="heading 5"/>
    <w:basedOn w:val="Normal"/>
    <w:next w:val="Normal"/>
    <w:link w:val="Heading5Char"/>
    <w:uiPriority w:val="9"/>
    <w:semiHidden/>
    <w:unhideWhenUsed/>
    <w:qFormat/>
    <w:rsid w:val="00FC693F"/>
    <w:pPr>
      <w:keepNext/>
      <w:keepLines/>
      <w:spacing w:before="160" w:after="80"/>
      <w:jc w:val="left"/>
      <w:outlineLvl w:val="4"/>
    </w:pPr>
    <w:rPr>
      <w:rFonts w:asciiTheme="majorHAnsi" w:eastAsiaTheme="majorEastAsia" w:hAnsiTheme="majorHAnsi" w:cstheme="majorBidi" w:ascii="Times New Roman" w:hAnsi="Times New Roman"/>
      <w:b/>
      <w:color w:val="1F3864"/>
      <w:sz w:val="22"/>
      <w:lang w:val="sr-Latn-R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