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p>
    <w:p>
      <w:pPr>
        <w:tabs>
          <w:tab w:pos="9354" w:val="right" w:leader="dot"/>
        </w:tabs>
        <w:spacing w:before="0" w:after="0" w:line="360" w:lineRule="auto"/>
        <w:ind w:firstLine="0" w:left="0"/>
        <w:jc w:val="left"/>
      </w:pPr>
      <w:r>
        <w:rPr>
          <w:rFonts w:ascii="Times New Roman" w:hAnsi="Times New Roman"/>
          <w:sz w:val="28"/>
        </w:rPr>
        <w:t>Введение</w:t>
        <w:tab/>
      </w:r>
      <w:r>
        <w:rPr>
          <w:rFonts w:ascii="Times New Roman" w:hAnsi="Times New Roman"/>
          <w:sz w:val="28"/>
        </w:rPr>
        <w:t>7</w:t>
      </w:r>
    </w:p>
    <w:p>
      <w:pPr>
        <w:tabs>
          <w:tab w:pos="9354" w:val="right" w:leader="dot"/>
        </w:tabs>
        <w:spacing w:before="0" w:after="0" w:line="360" w:lineRule="auto"/>
        <w:ind w:firstLine="0" w:left="0"/>
        <w:jc w:val="left"/>
      </w:pPr>
      <w:r>
        <w:rPr>
          <w:rFonts w:ascii="Times New Roman" w:hAnsi="Times New Roman"/>
          <w:sz w:val="28"/>
        </w:rPr>
        <w:t>Раздел 1. Анализ предметной области и постановка задачи</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1.1 Задача обнаружения визуальных аномалий в промышленном контроле</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1.2 Обзор и сравнение существующих методов</w:t>
        <w:tab/>
      </w:r>
      <w:r>
        <w:rPr>
          <w:rFonts w:ascii="Times New Roman" w:hAnsi="Times New Roman"/>
          <w:sz w:val="28"/>
        </w:rPr>
        <w:t>11</w:t>
      </w:r>
    </w:p>
    <w:p>
      <w:pPr>
        <w:tabs>
          <w:tab w:pos="9354" w:val="right" w:leader="dot"/>
        </w:tabs>
        <w:spacing w:before="0" w:after="0" w:line="360" w:lineRule="auto"/>
        <w:ind w:firstLine="0" w:left="425"/>
        <w:jc w:val="left"/>
      </w:pPr>
      <w:r>
        <w:rPr>
          <w:rFonts w:ascii="Times New Roman" w:hAnsi="Times New Roman"/>
          <w:sz w:val="28"/>
        </w:rPr>
        <w:t>1.3 Визуально-языковые модели: архитектура и принципы</w:t>
        <w:tab/>
      </w:r>
      <w:r>
        <w:rPr>
          <w:rFonts w:ascii="Times New Roman" w:hAnsi="Times New Roman"/>
          <w:sz w:val="28"/>
        </w:rPr>
        <w:t>13</w:t>
      </w:r>
    </w:p>
    <w:p>
      <w:pPr>
        <w:tabs>
          <w:tab w:pos="9354" w:val="right" w:leader="dot"/>
        </w:tabs>
        <w:spacing w:before="0" w:after="0" w:line="360" w:lineRule="auto"/>
        <w:ind w:firstLine="0" w:left="425"/>
        <w:jc w:val="left"/>
      </w:pPr>
      <w:r>
        <w:rPr>
          <w:rFonts w:ascii="Times New Roman" w:hAnsi="Times New Roman"/>
          <w:sz w:val="28"/>
        </w:rPr>
        <w:t>1.4 Требования к training-free подходу</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1.5 Формальная постановка задачи</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Выводы по разделу 1</w:t>
        <w:tab/>
      </w:r>
      <w:r>
        <w:rPr>
          <w:rFonts w:ascii="Times New Roman" w:hAnsi="Times New Roman"/>
          <w:sz w:val="28"/>
        </w:rPr>
        <w:t>16</w:t>
      </w:r>
    </w:p>
    <w:p>
      <w:pPr>
        <w:tabs>
          <w:tab w:pos="9354" w:val="right" w:leader="dot"/>
        </w:tabs>
        <w:spacing w:before="0" w:after="0" w:line="360" w:lineRule="auto"/>
        <w:ind w:firstLine="0" w:left="0"/>
        <w:jc w:val="left"/>
      </w:pPr>
      <w:r>
        <w:rPr>
          <w:rFonts w:ascii="Times New Roman" w:hAnsi="Times New Roman"/>
          <w:sz w:val="28"/>
        </w:rPr>
        <w:t>Раздел 2. Разработанный метод обнаружения логических аномалий</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2.1 Общая архитектура пайплайна</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2.2 Stage 1: декомпозированное описание нормальных изображений</w:t>
        <w:tab/>
      </w:r>
      <w:r>
        <w:rPr>
          <w:rFonts w:ascii="Times New Roman" w:hAnsi="Times New Roman"/>
          <w:sz w:val="28"/>
        </w:rPr>
        <w:t>18</w:t>
      </w:r>
    </w:p>
    <w:p>
      <w:pPr>
        <w:tabs>
          <w:tab w:pos="9354" w:val="right" w:leader="dot"/>
        </w:tabs>
        <w:spacing w:before="0" w:after="0" w:line="360" w:lineRule="auto"/>
        <w:ind w:firstLine="0" w:left="425"/>
        <w:jc w:val="left"/>
      </w:pPr>
      <w:r>
        <w:rPr>
          <w:rFonts w:ascii="Times New Roman" w:hAnsi="Times New Roman"/>
          <w:sz w:val="28"/>
        </w:rPr>
        <w:t>2.3 Stage 2: формирование нормативного определения</w:t>
        <w:tab/>
      </w:r>
      <w:r>
        <w:rPr>
          <w:rFonts w:ascii="Times New Roman" w:hAnsi="Times New Roman"/>
          <w:sz w:val="28"/>
        </w:rPr>
        <w:t>19</w:t>
      </w:r>
    </w:p>
    <w:p>
      <w:pPr>
        <w:tabs>
          <w:tab w:pos="9354" w:val="right" w:leader="dot"/>
        </w:tabs>
        <w:spacing w:before="0" w:after="0" w:line="360" w:lineRule="auto"/>
        <w:ind w:firstLine="0" w:left="425"/>
        <w:jc w:val="left"/>
      </w:pPr>
      <w:r>
        <w:rPr>
          <w:rFonts w:ascii="Times New Roman" w:hAnsi="Times New Roman"/>
          <w:sz w:val="28"/>
        </w:rPr>
        <w:t>2.4 Stage 3: генерация, фильтрация и аугментация вопросов</w:t>
        <w:tab/>
      </w:r>
      <w:r>
        <w:rPr>
          <w:rFonts w:ascii="Times New Roman" w:hAnsi="Times New Roman"/>
          <w:sz w:val="28"/>
        </w:rPr>
        <w:t>20</w:t>
      </w:r>
    </w:p>
    <w:p>
      <w:pPr>
        <w:tabs>
          <w:tab w:pos="9354" w:val="right" w:leader="dot"/>
        </w:tabs>
        <w:spacing w:before="0" w:after="0" w:line="360" w:lineRule="auto"/>
        <w:ind w:firstLine="0" w:left="425"/>
        <w:jc w:val="left"/>
      </w:pPr>
      <w:r>
        <w:rPr>
          <w:rFonts w:ascii="Times New Roman" w:hAnsi="Times New Roman"/>
          <w:sz w:val="28"/>
        </w:rPr>
        <w:t>2.5 Stage 4: тестирование с inline Chain-of-Thought (RC4-A)</w:t>
        <w:tab/>
      </w:r>
      <w:r>
        <w:rPr>
          <w:rFonts w:ascii="Times New Roman" w:hAnsi="Times New Roman"/>
          <w:sz w:val="28"/>
        </w:rPr>
        <w:t>21</w:t>
      </w:r>
    </w:p>
    <w:p>
      <w:pPr>
        <w:tabs>
          <w:tab w:pos="9354" w:val="right" w:leader="dot"/>
        </w:tabs>
        <w:spacing w:before="0" w:after="0" w:line="360" w:lineRule="auto"/>
        <w:ind w:firstLine="0" w:left="425"/>
        <w:jc w:val="left"/>
      </w:pPr>
      <w:r>
        <w:rPr>
          <w:rFonts w:ascii="Times New Roman" w:hAnsi="Times New Roman"/>
          <w:sz w:val="28"/>
        </w:rPr>
        <w:t>2.6 Иерархическая система оценки (L1–L4)</w:t>
        <w:tab/>
      </w:r>
      <w:r>
        <w:rPr>
          <w:rFonts w:ascii="Times New Roman" w:hAnsi="Times New Roman"/>
          <w:sz w:val="28"/>
        </w:rPr>
        <w:t>22</w:t>
      </w:r>
    </w:p>
    <w:p>
      <w:pPr>
        <w:tabs>
          <w:tab w:pos="9354" w:val="right" w:leader="dot"/>
        </w:tabs>
        <w:spacing w:before="0" w:after="0" w:line="360" w:lineRule="auto"/>
        <w:ind w:firstLine="0" w:left="425"/>
        <w:jc w:val="left"/>
      </w:pPr>
      <w:r>
        <w:rPr>
          <w:rFonts w:ascii="Times New Roman" w:hAnsi="Times New Roman"/>
          <w:sz w:val="28"/>
        </w:rPr>
        <w:t>Выводы по разделу 2</w:t>
        <w:tab/>
      </w:r>
      <w:r>
        <w:rPr>
          <w:rFonts w:ascii="Times New Roman" w:hAnsi="Times New Roman"/>
          <w:sz w:val="28"/>
        </w:rPr>
        <w:t>24</w:t>
      </w:r>
    </w:p>
    <w:p>
      <w:pPr>
        <w:tabs>
          <w:tab w:pos="9354" w:val="right" w:leader="dot"/>
        </w:tabs>
        <w:spacing w:before="0" w:after="0" w:line="360" w:lineRule="auto"/>
        <w:ind w:firstLine="0" w:left="0"/>
        <w:jc w:val="left"/>
      </w:pPr>
      <w:r>
        <w:rPr>
          <w:rFonts w:ascii="Times New Roman" w:hAnsi="Times New Roman"/>
          <w:sz w:val="28"/>
        </w:rPr>
        <w:t>Раздел 3. Программная реализация и экспериментальная инфраструктура</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3.1 Архитектура программной системы</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3.2 Поддержка моделей: InternVL2.5-8B и 38B-AWQ</w:t>
        <w:tab/>
      </w:r>
      <w:r>
        <w:rPr>
          <w:rFonts w:ascii="Times New Roman" w:hAnsi="Times New Roman"/>
          <w:sz w:val="28"/>
        </w:rPr>
        <w:t>27</w:t>
      </w:r>
    </w:p>
    <w:p>
      <w:pPr>
        <w:tabs>
          <w:tab w:pos="9354" w:val="right" w:leader="dot"/>
        </w:tabs>
        <w:spacing w:before="0" w:after="0" w:line="360" w:lineRule="auto"/>
        <w:ind w:firstLine="0" w:left="425"/>
        <w:jc w:val="left"/>
      </w:pPr>
      <w:r>
        <w:rPr>
          <w:rFonts w:ascii="Times New Roman" w:hAnsi="Times New Roman"/>
          <w:sz w:val="28"/>
        </w:rPr>
        <w:t>3.3 Система конфигурации</w:t>
        <w:tab/>
      </w:r>
      <w:r>
        <w:rPr>
          <w:rFonts w:ascii="Times New Roman" w:hAnsi="Times New Roman"/>
          <w:sz w:val="28"/>
        </w:rPr>
        <w:t>28</w:t>
      </w:r>
    </w:p>
    <w:p>
      <w:pPr>
        <w:tabs>
          <w:tab w:pos="9354" w:val="right" w:leader="dot"/>
        </w:tabs>
        <w:spacing w:before="0" w:after="0" w:line="360" w:lineRule="auto"/>
        <w:ind w:firstLine="0" w:left="425"/>
        <w:jc w:val="left"/>
      </w:pPr>
      <w:r>
        <w:rPr>
          <w:rFonts w:ascii="Times New Roman" w:hAnsi="Times New Roman"/>
          <w:sz w:val="28"/>
        </w:rPr>
        <w:t>3.4 Инфраструктура оценки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3.5 Ограничения реализации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Выводы по разделу 3</w:t>
        <w:tab/>
      </w:r>
      <w:r>
        <w:rPr>
          <w:rFonts w:ascii="Times New Roman" w:hAnsi="Times New Roman"/>
          <w:sz w:val="28"/>
        </w:rPr>
        <w:t>30</w:t>
      </w:r>
    </w:p>
    <w:p>
      <w:pPr>
        <w:tabs>
          <w:tab w:pos="9354" w:val="right" w:leader="dot"/>
        </w:tabs>
        <w:spacing w:before="0" w:after="0" w:line="360" w:lineRule="auto"/>
        <w:ind w:firstLine="0" w:left="0"/>
        <w:jc w:val="left"/>
      </w:pPr>
      <w:r>
        <w:rPr>
          <w:rFonts w:ascii="Times New Roman" w:hAnsi="Times New Roman"/>
          <w:sz w:val="28"/>
        </w:rPr>
        <w:t>Раздел 4. Эксперименты и анализ результатов</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4.1 Экспериментальная установка</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4.2 Базовые результаты: пять классов MVTec LOCO AD</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4.3 Прогрессия экспериментов: от baseline к r25</w:t>
        <w:tab/>
      </w:r>
      <w:r>
        <w:rPr>
          <w:rFonts w:ascii="Times New Roman" w:hAnsi="Times New Roman"/>
          <w:sz w:val="28"/>
        </w:rPr>
        <w:t>32</w:t>
      </w:r>
    </w:p>
    <w:p>
      <w:pPr>
        <w:tabs>
          <w:tab w:pos="9354" w:val="right" w:leader="dot"/>
        </w:tabs>
        <w:spacing w:before="0" w:after="0" w:line="360" w:lineRule="auto"/>
        <w:ind w:firstLine="0" w:left="425"/>
        <w:jc w:val="left"/>
      </w:pPr>
      <w:r>
        <w:rPr>
          <w:rFonts w:ascii="Times New Roman" w:hAnsi="Times New Roman"/>
          <w:sz w:val="28"/>
        </w:rPr>
        <w:t>4.4 Ablation: вклад каждого улучшения</w:t>
        <w:tab/>
      </w:r>
      <w:r>
        <w:rPr>
          <w:rFonts w:ascii="Times New Roman" w:hAnsi="Times New Roman"/>
          <w:sz w:val="28"/>
        </w:rPr>
        <w:t>33</w:t>
      </w:r>
    </w:p>
    <w:p>
      <w:pPr>
        <w:tabs>
          <w:tab w:pos="9354" w:val="right" w:leader="dot"/>
        </w:tabs>
        <w:spacing w:before="0" w:after="0" w:line="360" w:lineRule="auto"/>
        <w:ind w:firstLine="0" w:left="425"/>
        <w:jc w:val="left"/>
      </w:pPr>
      <w:r>
        <w:rPr>
          <w:rFonts w:ascii="Times New Roman" w:hAnsi="Times New Roman"/>
          <w:sz w:val="28"/>
        </w:rPr>
        <w:t>4.5 Иерархическая оценка</w:t>
        <w:tab/>
      </w:r>
      <w:r>
        <w:rPr>
          <w:rFonts w:ascii="Times New Roman" w:hAnsi="Times New Roman"/>
          <w:sz w:val="28"/>
        </w:rPr>
        <w:t>34</w:t>
      </w:r>
    </w:p>
    <w:p>
      <w:pPr>
        <w:tabs>
          <w:tab w:pos="9354" w:val="right" w:leader="dot"/>
        </w:tabs>
        <w:spacing w:before="0" w:after="0" w:line="360" w:lineRule="auto"/>
        <w:ind w:firstLine="0" w:left="425"/>
        <w:jc w:val="left"/>
      </w:pPr>
      <w:r>
        <w:rPr>
          <w:rFonts w:ascii="Times New Roman" w:hAnsi="Times New Roman"/>
          <w:sz w:val="28"/>
        </w:rPr>
        <w:t>4.6 Анализ ошибок</w:t>
        <w:tab/>
      </w:r>
      <w:r>
        <w:rPr>
          <w:rFonts w:ascii="Times New Roman" w:hAnsi="Times New Roman"/>
          <w:sz w:val="28"/>
        </w:rPr>
        <w:t>36</w:t>
      </w:r>
    </w:p>
    <w:p>
      <w:pPr>
        <w:tabs>
          <w:tab w:pos="9354" w:val="right" w:leader="dot"/>
        </w:tabs>
        <w:spacing w:before="0" w:after="0" w:line="360" w:lineRule="auto"/>
        <w:ind w:firstLine="0" w:left="425"/>
        <w:jc w:val="left"/>
      </w:pPr>
      <w:r>
        <w:rPr>
          <w:rFonts w:ascii="Times New Roman" w:hAnsi="Times New Roman"/>
          <w:sz w:val="28"/>
        </w:rPr>
        <w:t>4.7 Сравнение с оригинальной статьёй LogicQA</w:t>
        <w:tab/>
      </w:r>
      <w:r>
        <w:rPr>
          <w:rFonts w:ascii="Times New Roman" w:hAnsi="Times New Roman"/>
          <w:sz w:val="28"/>
        </w:rPr>
        <w:t>37</w:t>
      </w:r>
    </w:p>
    <w:p>
      <w:pPr>
        <w:tabs>
          <w:tab w:pos="9354" w:val="right" w:leader="dot"/>
        </w:tabs>
        <w:spacing w:before="0" w:after="0" w:line="360" w:lineRule="auto"/>
        <w:ind w:firstLine="0" w:left="425"/>
        <w:jc w:val="left"/>
      </w:pPr>
      <w:r>
        <w:rPr>
          <w:rFonts w:ascii="Times New Roman" w:hAnsi="Times New Roman"/>
          <w:sz w:val="28"/>
        </w:rPr>
        <w:t>Выводы по разделу 4</w:t>
        <w:tab/>
      </w:r>
      <w:r>
        <w:rPr>
          <w:rFonts w:ascii="Times New Roman" w:hAnsi="Times New Roman"/>
          <w:sz w:val="28"/>
        </w:rPr>
        <w:t>38</w:t>
      </w:r>
    </w:p>
    <w:p>
      <w:pPr>
        <w:tabs>
          <w:tab w:pos="9354" w:val="right" w:leader="dot"/>
        </w:tabs>
        <w:spacing w:before="0" w:after="0" w:line="360" w:lineRule="auto"/>
        <w:ind w:firstLine="0" w:left="0"/>
        <w:jc w:val="left"/>
      </w:pPr>
      <w:r>
        <w:rPr>
          <w:rFonts w:ascii="Times New Roman" w:hAnsi="Times New Roman"/>
          <w:sz w:val="28"/>
        </w:rPr>
        <w:t>Заключение</w:t>
        <w:tab/>
      </w:r>
      <w:r>
        <w:rPr>
          <w:rFonts w:ascii="Times New Roman" w:hAnsi="Times New Roman"/>
          <w:sz w:val="28"/>
        </w:rPr>
        <w:t>39</w:t>
      </w:r>
    </w:p>
    <w:p>
      <w:pPr>
        <w:tabs>
          <w:tab w:pos="9354" w:val="right" w:leader="dot"/>
        </w:tabs>
        <w:spacing w:before="0" w:after="0" w:line="360" w:lineRule="auto"/>
        <w:ind w:firstLine="0" w:left="0"/>
        <w:jc w:val="left"/>
      </w:pPr>
      <w:r>
        <w:rPr>
          <w:rFonts w:ascii="Times New Roman" w:hAnsi="Times New Roman"/>
          <w:sz w:val="28"/>
        </w:rPr>
        <w:t>Список использованных источников</w:t>
        <w:tab/>
      </w:r>
      <w:r>
        <w:rPr>
          <w:rFonts w:ascii="Times New Roman" w:hAnsi="Times New Roman"/>
          <w:sz w:val="28"/>
        </w:rPr>
        <w:t>41</w:t>
      </w:r>
    </w:p>
    <w:p>
      <w:pPr>
        <w:tabs>
          <w:tab w:pos="9354" w:val="right" w:leader="dot"/>
        </w:tabs>
        <w:spacing w:before="0" w:after="0" w:line="360" w:lineRule="auto"/>
        <w:ind w:firstLine="0" w:left="0"/>
        <w:jc w:val="left"/>
      </w:pPr>
      <w:r>
        <w:rPr>
          <w:rFonts w:ascii="Times New Roman" w:hAnsi="Times New Roman"/>
          <w:sz w:val="28"/>
        </w:rPr>
        <w:t>Приложение А</w:t>
        <w:tab/>
      </w:r>
      <w:r>
        <w:rPr>
          <w:rFonts w:ascii="Times New Roman" w:hAnsi="Times New Roman"/>
          <w:sz w:val="28"/>
        </w:rPr>
        <w:t>44</w:t>
      </w:r>
    </w:p>
    <w:p>
      <w:pPr>
        <w:tabs>
          <w:tab w:pos="9354" w:val="right" w:leader="dot"/>
        </w:tabs>
        <w:spacing w:before="0" w:after="0" w:line="360" w:lineRule="auto"/>
        <w:ind w:firstLine="0" w:left="0"/>
        <w:jc w:val="left"/>
      </w:pPr>
      <w:r>
        <w:rPr>
          <w:rFonts w:ascii="Times New Roman" w:hAnsi="Times New Roman"/>
          <w:sz w:val="28"/>
        </w:rPr>
        <w:t>Приложение Б</w:t>
        <w:tab/>
      </w:r>
      <w:r>
        <w:rPr>
          <w:rFonts w:ascii="Times New Roman" w:hAnsi="Times New Roman"/>
          <w:sz w:val="28"/>
        </w:rPr>
        <w:t>46</w:t>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tabs>
          <w:tab w:pos="2551" w:val="left"/>
        </w:tabs>
        <w:spacing w:before="0" w:after="0" w:line="360" w:lineRule="auto"/>
        <w:ind w:left="2551" w:hanging="2551"/>
        <w:jc w:val="both"/>
      </w:pPr>
      <w:r>
        <w:rPr>
          <w:rFonts w:ascii="Times New Roman" w:hAnsi="Times New Roman"/>
          <w:sz w:val="28"/>
        </w:rPr>
        <w:t>AUROC</w:t>
        <w:tab/>
      </w:r>
      <w:r>
        <w:rPr>
          <w:rFonts w:ascii="Times New Roman" w:hAnsi="Times New Roman"/>
          <w:sz w:val="28"/>
        </w:rPr>
        <w:t>площадь под ROC-кривой (Area Under the ROC Curve);</w:t>
      </w:r>
    </w:p>
    <w:p>
      <w:pPr>
        <w:tabs>
          <w:tab w:pos="2551" w:val="left"/>
        </w:tabs>
        <w:spacing w:before="0" w:after="0" w:line="360" w:lineRule="auto"/>
        <w:ind w:left="2551" w:hanging="2551"/>
        <w:jc w:val="both"/>
      </w:pPr>
      <w:r>
        <w:rPr>
          <w:rFonts w:ascii="Times New Roman" w:hAnsi="Times New Roman"/>
          <w:sz w:val="28"/>
        </w:rPr>
        <w:t>AWQ</w:t>
        <w:tab/>
      </w:r>
      <w:r>
        <w:rPr>
          <w:rFonts w:ascii="Times New Roman" w:hAnsi="Times New Roman"/>
          <w:sz w:val="28"/>
        </w:rPr>
        <w:t>квантизация весов с учётом активаций (Activation-aware Weight Quantization);</w:t>
      </w:r>
    </w:p>
    <w:p>
      <w:pPr>
        <w:tabs>
          <w:tab w:pos="2551" w:val="left"/>
        </w:tabs>
        <w:spacing w:before="0" w:after="0" w:line="360" w:lineRule="auto"/>
        <w:ind w:left="2551" w:hanging="2551"/>
        <w:jc w:val="both"/>
      </w:pPr>
      <w:r>
        <w:rPr>
          <w:rFonts w:ascii="Times New Roman" w:hAnsi="Times New Roman"/>
          <w:sz w:val="28"/>
        </w:rPr>
        <w:t>CCR</w:t>
        <w:tab/>
      </w:r>
      <w:r>
        <w:rPr>
          <w:rFonts w:ascii="Times New Roman" w:hAnsi="Times New Roman"/>
          <w:sz w:val="28"/>
        </w:rPr>
        <w:t>доля покрытых ограничений нормальности (Constraint Coverage Rate);</w:t>
      </w:r>
    </w:p>
    <w:p>
      <w:pPr>
        <w:tabs>
          <w:tab w:pos="2551" w:val="left"/>
        </w:tabs>
        <w:spacing w:before="0" w:after="0" w:line="360" w:lineRule="auto"/>
        <w:ind w:left="2551" w:hanging="2551"/>
        <w:jc w:val="both"/>
      </w:pPr>
      <w:r>
        <w:rPr>
          <w:rFonts w:ascii="Times New Roman" w:hAnsi="Times New Roman"/>
          <w:sz w:val="28"/>
        </w:rPr>
        <w:t>CLIP</w:t>
        <w:tab/>
      </w:r>
      <w:r>
        <w:rPr>
          <w:rFonts w:ascii="Times New Roman" w:hAnsi="Times New Roman"/>
          <w:sz w:val="28"/>
        </w:rPr>
        <w:t>модель сопоставления текста и изображений (Contrastive Language–Image Pre-training);</w:t>
      </w:r>
    </w:p>
    <w:p>
      <w:pPr>
        <w:tabs>
          <w:tab w:pos="2551" w:val="left"/>
        </w:tabs>
        <w:spacing w:before="0" w:after="0" w:line="360" w:lineRule="auto"/>
        <w:ind w:left="2551" w:hanging="2551"/>
        <w:jc w:val="both"/>
      </w:pPr>
      <w:r>
        <w:rPr>
          <w:rFonts w:ascii="Times New Roman" w:hAnsi="Times New Roman"/>
          <w:sz w:val="28"/>
        </w:rPr>
        <w:t>CLIPScore</w:t>
        <w:tab/>
      </w:r>
      <w:r>
        <w:rPr>
          <w:rFonts w:ascii="Times New Roman" w:hAnsi="Times New Roman"/>
          <w:sz w:val="28"/>
        </w:rPr>
        <w:t>метрика семантического сходства текста и изображения на основе CLIP;</w:t>
      </w:r>
    </w:p>
    <w:p>
      <w:pPr>
        <w:tabs>
          <w:tab w:pos="2551" w:val="left"/>
        </w:tabs>
        <w:spacing w:before="0" w:after="0" w:line="360" w:lineRule="auto"/>
        <w:ind w:left="2551" w:hanging="2551"/>
        <w:jc w:val="both"/>
      </w:pPr>
      <w:r>
        <w:rPr>
          <w:rFonts w:ascii="Times New Roman" w:hAnsi="Times New Roman"/>
          <w:sz w:val="28"/>
        </w:rPr>
        <w:t>CoT</w:t>
        <w:tab/>
      </w:r>
      <w:r>
        <w:rPr>
          <w:rFonts w:ascii="Times New Roman" w:hAnsi="Times New Roman"/>
          <w:sz w:val="28"/>
        </w:rPr>
        <w:t>метод пошагового рассуждения в промптинге (Chain-of-Thought);</w:t>
      </w:r>
    </w:p>
    <w:p>
      <w:pPr>
        <w:tabs>
          <w:tab w:pos="2551" w:val="left"/>
        </w:tabs>
        <w:spacing w:before="0" w:after="0" w:line="360" w:lineRule="auto"/>
        <w:ind w:left="2551" w:hanging="2551"/>
        <w:jc w:val="both"/>
      </w:pPr>
      <w:r>
        <w:rPr>
          <w:rFonts w:ascii="Times New Roman" w:hAnsi="Times New Roman"/>
          <w:sz w:val="28"/>
        </w:rPr>
        <w:t>F1-max</w:t>
        <w:tab/>
      </w:r>
      <w:r>
        <w:rPr>
          <w:rFonts w:ascii="Times New Roman" w:hAnsi="Times New Roman"/>
          <w:sz w:val="28"/>
        </w:rPr>
        <w:t>максимальное значение F1-меры по порогу;</w:t>
      </w:r>
    </w:p>
    <w:p>
      <w:pPr>
        <w:tabs>
          <w:tab w:pos="2551" w:val="left"/>
        </w:tabs>
        <w:spacing w:before="0" w:after="0" w:line="360" w:lineRule="auto"/>
        <w:ind w:left="2551" w:hanging="2551"/>
        <w:jc w:val="both"/>
      </w:pPr>
      <w:r>
        <w:rPr>
          <w:rFonts w:ascii="Times New Roman" w:hAnsi="Times New Roman"/>
          <w:sz w:val="28"/>
        </w:rPr>
        <w:t>InternVL</w:t>
        <w:tab/>
      </w:r>
      <w:r>
        <w:rPr>
          <w:rFonts w:ascii="Times New Roman" w:hAnsi="Times New Roman"/>
          <w:sz w:val="28"/>
        </w:rPr>
        <w:t>визуально-языковая модель семейства InternVL2.5 (8B и 38B параметров);</w:t>
      </w:r>
    </w:p>
    <w:p>
      <w:pPr>
        <w:tabs>
          <w:tab w:pos="2551" w:val="left"/>
        </w:tabs>
        <w:spacing w:before="0" w:after="0" w:line="360" w:lineRule="auto"/>
        <w:ind w:left="2551" w:hanging="2551"/>
        <w:jc w:val="both"/>
      </w:pPr>
      <w:r>
        <w:rPr>
          <w:rFonts w:ascii="Times New Roman" w:hAnsi="Times New Roman"/>
          <w:sz w:val="28"/>
        </w:rPr>
        <w:t>LLM</w:t>
        <w:tab/>
      </w:r>
      <w:r>
        <w:rPr>
          <w:rFonts w:ascii="Times New Roman" w:hAnsi="Times New Roman"/>
          <w:sz w:val="28"/>
        </w:rPr>
        <w:t>большая языковая модель (Large Language Model);</w:t>
      </w:r>
    </w:p>
    <w:p>
      <w:pPr>
        <w:tabs>
          <w:tab w:pos="2551" w:val="left"/>
        </w:tabs>
        <w:spacing w:before="0" w:after="0" w:line="360" w:lineRule="auto"/>
        <w:ind w:left="2551" w:hanging="2551"/>
        <w:jc w:val="both"/>
      </w:pPr>
      <w:r>
        <w:rPr>
          <w:rFonts w:ascii="Times New Roman" w:hAnsi="Times New Roman"/>
          <w:sz w:val="28"/>
        </w:rPr>
        <w:t>MACE</w:t>
        <w:tab/>
      </w:r>
      <w:r>
        <w:rPr>
          <w:rFonts w:ascii="Times New Roman" w:hAnsi="Times New Roman"/>
          <w:sz w:val="28"/>
        </w:rPr>
        <w:t>средняя абсолютная ошибка счёта (Mean Absolute Count Error);</w:t>
      </w:r>
    </w:p>
    <w:p>
      <w:pPr>
        <w:tabs>
          <w:tab w:pos="2551" w:val="left"/>
        </w:tabs>
        <w:spacing w:before="0" w:after="0" w:line="360" w:lineRule="auto"/>
        <w:ind w:left="2551" w:hanging="2551"/>
        <w:jc w:val="both"/>
      </w:pPr>
      <w:r>
        <w:rPr>
          <w:rFonts w:ascii="Times New Roman" w:hAnsi="Times New Roman"/>
          <w:sz w:val="28"/>
        </w:rPr>
        <w:t>MVTec LOCO AD</w:t>
        <w:tab/>
      </w:r>
      <w:r>
        <w:rPr>
          <w:rFonts w:ascii="Times New Roman" w:hAnsi="Times New Roman"/>
          <w:sz w:val="28"/>
        </w:rPr>
        <w:t>датасет обнаружения аномалий с логическими ограничениями (MVTec Logical Constraints Anomaly Detection);</w:t>
      </w:r>
    </w:p>
    <w:p>
      <w:pPr>
        <w:tabs>
          <w:tab w:pos="2551" w:val="left"/>
        </w:tabs>
        <w:spacing w:before="0" w:after="0" w:line="360" w:lineRule="auto"/>
        <w:ind w:left="2551" w:hanging="2551"/>
        <w:jc w:val="both"/>
      </w:pPr>
      <w:r>
        <w:rPr>
          <w:rFonts w:ascii="Times New Roman" w:hAnsi="Times New Roman"/>
          <w:sz w:val="28"/>
        </w:rPr>
        <w:t>RC4-A</w:t>
        <w:tab/>
      </w:r>
      <w:r>
        <w:rPr>
          <w:rFonts w:ascii="Times New Roman" w:hAnsi="Times New Roman"/>
          <w:sz w:val="28"/>
        </w:rPr>
        <w:t>версия стадии 4 с inline-рассуждением Chain-of-Thought;</w:t>
      </w:r>
    </w:p>
    <w:p>
      <w:pPr>
        <w:tabs>
          <w:tab w:pos="2551" w:val="left"/>
        </w:tabs>
        <w:spacing w:before="0" w:after="0" w:line="360" w:lineRule="auto"/>
        <w:ind w:left="2551" w:hanging="2551"/>
        <w:jc w:val="both"/>
      </w:pPr>
      <w:r>
        <w:rPr>
          <w:rFonts w:ascii="Times New Roman" w:hAnsi="Times New Roman"/>
          <w:sz w:val="28"/>
        </w:rPr>
        <w:t>SRA</w:t>
        <w:tab/>
      </w:r>
      <w:r>
        <w:rPr>
          <w:rFonts w:ascii="Times New Roman" w:hAnsi="Times New Roman"/>
          <w:sz w:val="28"/>
        </w:rPr>
        <w:t>точность пространственных отношений (Spatial Relation Accuracy);</w:t>
      </w:r>
    </w:p>
    <w:p>
      <w:pPr>
        <w:tabs>
          <w:tab w:pos="2551" w:val="left"/>
        </w:tabs>
        <w:spacing w:before="0" w:after="0" w:line="360" w:lineRule="auto"/>
        <w:ind w:left="2551" w:hanging="2551"/>
        <w:jc w:val="both"/>
      </w:pPr>
      <w:r>
        <w:rPr>
          <w:rFonts w:ascii="Times New Roman" w:hAnsi="Times New Roman"/>
          <w:sz w:val="28"/>
        </w:rPr>
        <w:t>Sub-Q</w:t>
        <w:tab/>
      </w:r>
      <w:r>
        <w:rPr>
          <w:rFonts w:ascii="Times New Roman" w:hAnsi="Times New Roman"/>
          <w:sz w:val="28"/>
        </w:rPr>
        <w:t>вопрос-вариант, перефразировка основного вопроса (sub-question);</w:t>
      </w:r>
    </w:p>
    <w:p>
      <w:pPr>
        <w:tabs>
          <w:tab w:pos="2551" w:val="left"/>
        </w:tabs>
        <w:spacing w:before="0" w:after="0" w:line="360" w:lineRule="auto"/>
        <w:ind w:left="2551" w:hanging="2551"/>
        <w:jc w:val="both"/>
      </w:pPr>
      <w:r>
        <w:rPr>
          <w:rFonts w:ascii="Times New Roman" w:hAnsi="Times New Roman"/>
          <w:sz w:val="28"/>
        </w:rPr>
        <w:t>TP / FP / FN / TN</w:t>
        <w:tab/>
      </w:r>
      <w:r>
        <w:rPr>
          <w:rFonts w:ascii="Times New Roman" w:hAnsi="Times New Roman"/>
          <w:sz w:val="28"/>
        </w:rPr>
        <w:t>истинно- и ложноположительные, ложно- и истинноотрицательные срабатывания (True/False Positive/Negative);</w:t>
      </w:r>
    </w:p>
    <w:p>
      <w:pPr>
        <w:tabs>
          <w:tab w:pos="2551" w:val="left"/>
        </w:tabs>
        <w:spacing w:before="0" w:after="0" w:line="360" w:lineRule="auto"/>
        <w:ind w:left="2551" w:hanging="2551"/>
        <w:jc w:val="both"/>
      </w:pPr>
      <w:r>
        <w:rPr>
          <w:rFonts w:ascii="Times New Roman" w:hAnsi="Times New Roman"/>
          <w:sz w:val="28"/>
        </w:rPr>
        <w:t>VLM</w:t>
        <w:tab/>
      </w:r>
      <w:r>
        <w:rPr>
          <w:rFonts w:ascii="Times New Roman" w:hAnsi="Times New Roman"/>
          <w:sz w:val="28"/>
        </w:rPr>
        <w:t>визуально-языковая модель (Visual-Language Model);</w:t>
      </w:r>
    </w:p>
    <w:p>
      <w:pPr>
        <w:tabs>
          <w:tab w:pos="2551" w:val="left"/>
        </w:tabs>
        <w:spacing w:before="0" w:after="0" w:line="360" w:lineRule="auto"/>
        <w:ind w:left="2551" w:hanging="2551"/>
        <w:jc w:val="both"/>
      </w:pPr>
      <w:r>
        <w:rPr>
          <w:rFonts w:ascii="Times New Roman" w:hAnsi="Times New Roman"/>
          <w:sz w:val="28"/>
        </w:rPr>
        <w:t>ГОСТ</w:t>
        <w:tab/>
      </w:r>
      <w:r>
        <w:rPr>
          <w:rFonts w:ascii="Times New Roman" w:hAnsi="Times New Roman"/>
          <w:sz w:val="28"/>
        </w:rPr>
        <w:t>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 дистилляции знаний (Student-Teacher [2, 3], EfficientAD) и признаковых карт (PatchCore [4]) достигают AUROC &gt; 0.95 на стандартных бенчмарках. Для логических аномалий ситуация принципиально иная: датасет MVTec LOCO AD [5] (2022) специально создан для этой задачи и выявил существенные ограничения существующих методов. Подходы на основе CLIP (WinCLIP [6], AnoVL [22]) демонстрируют улучшения, но не охватывают сложную семантику ограничений. Принципиально иное решение предложено в LogicQA [7] (2025). Здесь визуально-языковая модель работает не как экстрактор признаков, а как рассуждающий агент: она сначала формирует перечень условий нормальности, после чего последовательно сверяет с ним каждое тестовое изображение. У этого решения есть существенный недостаток — оно опирается на закрытую модель GPT-4o, что затрудняет промышленное внедрение и по стоимости запросов, и по требованиям воспроизводимости.</w:t>
      </w:r>
    </w:p>
    <w:p>
      <w:pPr>
        <w:spacing w:before="0" w:after="0" w:line="360" w:lineRule="auto"/>
        <w:ind w:firstLine="709"/>
        <w:jc w:val="both"/>
      </w:pPr>
      <w:r>
        <w:rPr>
          <w:rFonts w:ascii="Times New Roman" w:hAnsi="Times New Roman"/>
          <w:sz w:val="28"/>
        </w:rPr>
        <w:t>Настоящая работа продолжает это направление сразу в трёх плоскостях. Во-первых, метод LogicQA воспроизводится на открытой модели InternVL2.5-8B. Во-вторых, в пайплайн внесены семь системных улучшений. В-третьих, предложена иерархическая система оценки (L1–L4). Исходный уровень InternVL2.5-8B по пяти классам MVTec LOCO AD не превышает 0.527 по AUROC; после доработок на классе breakfast_box удаётся достичь 0.852 — значения, вплотную приближающегося к результатам GPT-4o.</w:t>
      </w:r>
    </w:p>
    <w:p>
      <w:pPr>
        <w:spacing w:before="0" w:after="0" w:line="360" w:lineRule="auto"/>
        <w:ind w:firstLine="709"/>
        <w:jc w:val="both"/>
      </w:pPr>
      <w:r>
        <w:rPr>
          <w:rFonts w:ascii="Times New Roman" w:hAnsi="Times New Roman"/>
          <w:sz w:val="28"/>
        </w:rPr>
        <w:t>Цель работы —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[8].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[5],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 применяет вариационный вывод для построения латентного пространства нормальности. DRAEM [1]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[4] формирует кор-сет нормальных патч-признаков и вычисляет аномальность тестового патча как расстояние до ближайшего соседа в кор-сете. SPADE [23]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В методах дистилляции знаний студенческую сеть учат повторять поведение учительской на нормальных изображениях [2, 3], а об аномалии судят по расхождению их активаций. Здесь выделяется EfficientAD [9], сочетающий высокую скорость с приемлемой точностью. Но ограничение никуда не девается: обнаружение по-прежнему остаётся локальным.</w:t>
      </w:r>
    </w:p>
    <w:p>
      <w:pPr>
        <w:spacing w:before="0" w:after="0" w:line="360" w:lineRule="auto"/>
        <w:ind w:firstLine="709"/>
        <w:jc w:val="both"/>
      </w:pPr>
      <w:r>
        <w:rPr>
          <w:rFonts w:ascii="Times New Roman" w:hAnsi="Times New Roman"/>
          <w:sz w:val="28"/>
        </w:rPr>
        <w:t>Группа VLM-based методов строится на предобученных визуально-языковых моделях. Так, WinCLIP [6] оценивает через CLIP, насколько патчи изображения близки к текстовым описаниям нормы и аномалии, а AnoVL [22] развивает эту идею дальше. На общем фоне LogicQA [7] (2025) стоит особняком: вместо подсчёта признаков модель берёт на себя роль рассуждающего агента — собирает перечень семантических ограничений нормы и по очереди проверяет каждое из них на тестовом изображении.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[4]</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[9]</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[6]</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[7]</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Из таблицы 1.2 напрашивается простой вывод. Классические методы хорошо ловят структурные дефекты, но плохо объяснимы и мало что дают на логических аномалиях. У VLM-based подходов набор сильных сторон иной: они работают с логическими нарушениями, не требуют размеченных аномалий и при этом остаются интерпретируемыми. Ради этого сочетания свойств мы и выбрали данное направление.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CLIP (Contrastive Language–Image Pre-training) [10] обучена на 400 миллионах пар «изображение — текстовое описание» с контрастивной функцией потерь. В результате формируется совместное пространство эмбеддингов, где близкие по смыслу пары располагаются рядом, а несовпадающие расходятся. Благодаря этому сходство между любым изображением и любым текстом можно измерить напрямую, не прибегая к дообучению. Мы применяем вариант CLIP ViT-B/32 для расчёта метрики CLIPScore, которая оценивает качество текстового описания нормального изображения.</w:t>
      </w:r>
    </w:p>
    <w:p>
      <w:pPr>
        <w:spacing w:before="0" w:after="0" w:line="360" w:lineRule="auto"/>
        <w:ind w:firstLine="709"/>
        <w:jc w:val="both"/>
      </w:pPr>
      <w:r>
        <w:rPr>
          <w:rFonts w:ascii="Times New Roman" w:hAnsi="Times New Roman"/>
          <w:sz w:val="28"/>
        </w:rPr>
        <w:t>Семейство открытых визуально-языковых моделей InternVL2.5 [11] собрано из трёх компонентов: визуального энкодера InternViT-6B, модуля pixel shuffling для работы с изображениями высокого разрешения и языковой модели Qwen2.5 от Alibaba. Обучающая выборка носила мультимодальный характер и включала пары изображение–текст, данные пространственного grounding с координатами ограничивающих прямоугольников, вопросно-ответные пары по изображениям и задачи на пространственное рассуждение. Модуль pixel shuffling динамически подстраивает разрешение входа; в задачах обнаружения аномалий применяется разбиение на плитки 448×448 пикселей, благодаря чему сохраняются мелкие детали объекта. Особую роль играют grounding-данные: модель научилась не только описывать сцену, но и привязывать упоминаемые объекты к координатам, а это повышает достоверность описания пространственных отношений между компонентами.</w:t>
      </w:r>
    </w:p>
    <w:p>
      <w:pPr>
        <w:spacing w:before="0" w:after="0" w:line="360" w:lineRule="auto"/>
        <w:ind w:firstLine="709"/>
        <w:jc w:val="both"/>
      </w:pPr>
      <w:r>
        <w:rPr>
          <w:rFonts w:ascii="Times New Roman" w:hAnsi="Times New Roman"/>
          <w:sz w:val="28"/>
        </w:rPr>
        <w:t>При few-shot prompting модель во время тестирования получает n_shots нормальных изображений, играющих роль контекстных примеров нормальности. Опираясь на них, она выстраивает представление о норме без какого-либо обновления весов, что и соответствует training-free постановке задачи.</w:t>
      </w:r>
    </w:p>
    <w:p>
      <w:pPr>
        <w:spacing w:before="0" w:after="0" w:line="360" w:lineRule="auto"/>
        <w:ind w:firstLine="709"/>
        <w:jc w:val="both"/>
      </w:pPr>
      <w:r>
        <w:rPr>
          <w:rFonts w:ascii="Times New Roman" w:hAnsi="Times New Roman"/>
          <w:sz w:val="28"/>
        </w:rPr>
        <w:t>Chain-of-Thought (CoT) — это приём промптинга, который заставляет модель проговаривать промежуточные рассуждения прежде, чем она даст окончательный ответ. В нашем случае процесс разбит на два шага. Сначала, на шаге Observe, модель описывает, что именно видно на изображении применительно к проверяемому ограничению; затем, на шаге Conclude, она формулирует вывод в формате Result: Yes/No. Применительно к обнаружению аномалий это даёт важный эффект: чтобы ответить «Yes (нормально)», модель обязана сперва привести подтверждающее наблюдение. Тем самым отсекается «угадывание» — склонность отвечать «Yes» без реального анализа кадра, которая и порождает большую часть ложноположительных срабатываний. На практике замена прямого вопроса CoT-промптом в эксперименте RC4-A снизила число FP с 12 до нуля, не пожертвовав полнотой (recall).</w:t>
      </w:r>
    </w:p>
    <w:p>
      <w:pPr>
        <w:spacing w:before="0" w:after="0" w:line="360" w:lineRule="auto"/>
        <w:ind w:firstLine="709"/>
        <w:jc w:val="both"/>
      </w:pPr>
      <w:r>
        <w:rPr>
          <w:rFonts w:ascii="Times New Roman" w:hAnsi="Times New Roman"/>
          <w:sz w:val="28"/>
        </w:rPr>
        <w:t>Следует учитывать, что выигрыш от CoT носит эмерджентный (emergent) характер и проявляется лишь с ростом масштаба модели [12]. Согласно работе «Chain-of-Thought Prompting» [12] (NeurIPS 2022), на небольших моделях (примерно до 100 млрд параметров) приём не помогает, а порой и вредит: такие модели выстраивают правдоподобные с виду, но логически ошибочные цепочки рассуждений, и точность падает относительно прямого запроса. Ощутимая польза начинается только у достаточно крупных моделей. Для нашей задачи отсюда следует вполне конкретный прогноз. У InternVL2.5-8B эффект CoT заметен, но половинчат (FP снижается с 12 до 0, однако FN растёт с 3 до 10); у InternVL2.5-38B же за счёт более ёмкого языкового модуля можно рассчитывать на более устойчивое рассуждение.</w:t>
      </w:r>
    </w:p>
    <w:p>
      <w:pPr>
        <w:spacing w:before="0" w:after="0" w:line="360" w:lineRule="auto"/>
        <w:ind w:firstLine="709"/>
        <w:jc w:val="both"/>
      </w:pPr>
      <w:r>
        <w:rPr>
          <w:rFonts w:ascii="Times New Roman" w:hAnsi="Times New Roman"/>
          <w:sz w:val="28"/>
        </w:rPr>
        <w:t>Тяга визуально-языковых моделей к «галлюцинациям» и к утвердительному «Yes» подробно разобрана в исследовании POPE [13]. Его авторы зафиксировали, что крупные модели нередко «видят» на изображении объекты, которых там нет, и чем чаще объект встречался в обучающих данных, тем выше вероятность такой ошибки. При этом открытый запрос провоцирует галлюцинации сильнее, чем закрытый вопрос с ответом Yes/No. Этот результат прямо оправдывает наш выбор бинарного формата вопросов на стадии 3 и поясняет природу FP=12 в эксперименте r23 без CoT: лишённая обязательного шага наблюдения, модель отвечала «Yes», ориентируясь на статистические ожидания, а не на конкретный кадр.</w:t>
      </w:r>
    </w:p>
    <w:p>
      <w:pPr>
        <w:spacing w:before="0" w:after="0" w:line="360" w:lineRule="auto"/>
        <w:ind w:firstLine="709"/>
        <w:jc w:val="both"/>
      </w:pPr>
      <w:r>
        <w:rPr>
          <w:rFonts w:ascii="Times New Roman" w:hAnsi="Times New Roman"/>
          <w:sz w:val="28"/>
        </w:rPr>
        <w:t>Второе системное ограничение визуально-языковых моделей — слабое пространственное рассуждение. Эта проблема прицельно изучена в работе «What's Up with Vision-Language Models?» [14] на трёх специально подготовленных корпусах. Оказалось, что дообученные модели VQAv2 на основе BLIP практически сравниваются с человеком на общем бенчмарке (около 99%), однако на отношениях вида «на/под» и «слева/справа» их точность обваливается до 56% против тех же 99% у людей. Главную причину авторы видят в дефиците надёжных примеров пространственных отношений внутри больших предобучающих корпусов, таких как LAION-2B. Именно поэтому метрика SRA (Spatial Relation Accuracy) выделена у нас в самостоятельный уровень L2, и именно поэтому можно заранее предположить, что пространственные аномалии станут самым трудным случаем для модели масштаба 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На вход подаётся тестовое изображение x_test ∈ X, и для него требуется построить бинарный предиктор f: X → {0, 1}, относящий объект либо к норме (0), либо к аномалии (1).</w:t>
      </w:r>
    </w:p>
    <w:p>
      <w:pPr>
        <w:spacing w:before="0" w:after="0" w:line="360" w:lineRule="auto"/>
        <w:ind w:firstLine="709"/>
        <w:jc w:val="both"/>
      </w:pPr>
      <w:r>
        <w:rPr>
          <w:rFonts w:ascii="Times New Roman" w:hAnsi="Times New Roman"/>
          <w:sz w:val="28"/>
        </w:rPr>
        <w:t>Что считать нормой, фиксирует множество семантических ограничений C = {c_1, ..., c_k}, выведенных из обучающей выборки D_train. Сами ограничения неоднородны. Одни касаются количества (ровно два мандарина), другие — расположения (болты лежат слева), третьи — атрибутов (мюсли полностью заполняют отсек). Стоит нарушиться хотя бы одному из них, и объект уже считается аномальным: f(x_test) = 1, если ∃ c_i ∈ C: c_i(x_test) = False.</w:t>
      </w:r>
    </w:p>
    <w:p>
      <w:pPr>
        <w:spacing w:before="0" w:after="0" w:line="360" w:lineRule="auto"/>
        <w:ind w:firstLine="709"/>
        <w:jc w:val="both"/>
      </w:pPr>
      <w:r>
        <w:rPr>
          <w:rFonts w:ascii="Times New Roman" w:hAnsi="Times New Roman"/>
          <w:sz w:val="28"/>
        </w:rPr>
        <w:t>Основных метрик качества у предиктора две. AUROC (Area Under ROC Curve) — это площадь под кривой, которая связывает True Positive Rate с False Positive Rate, пока порог аномальности пробегает значения от 0 до 1; ценно, что от выбора самого порога эта величина не зависит. F1-max берётся иначе — как наибольшее по всем порогам значение F1-меры F1 = 2·TP / (2·TP + FP + FN). Качество же отдельных стадий пайплайна измеряется собственным набором иерархических метрик L1–L4, которому посвящён раздел 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[7]: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1 для каждого нормального обучающего изображения формируется текстовое описание эталонного состояния объекта. Главное отличие от оригинального LogicQA заключается здесь в per-component декомпозиции: вместо одного монолитного описания всей сцены модель поочерёдно характеризует каждый из заранее заданных компонентов объекта (NORMALITY_COMPONENTS).</w:t>
      </w:r>
    </w:p>
    <w:p>
      <w:pPr>
        <w:spacing w:before="0" w:after="0" w:line="360" w:lineRule="auto"/>
        <w:ind w:firstLine="709"/>
        <w:jc w:val="both"/>
      </w:pPr>
      <w:r>
        <w:rPr>
          <w:rFonts w:ascii="Times New Roman" w:hAnsi="Times New Roman"/>
          <w:sz w:val="28"/>
        </w:rPr>
        <w:t>Так, для класса breakfast_box выделено шесть компонентов — два счётных (tangerines, ровно 2 штуки, и nectarine, ровно 1 штука) и четыре несчётных наполнителя (muesli, banana chips, almonds, yogurt coating). Каждое из пяти обучающих изображений обрабатывается шестью отдельными запросами к VLM вида «Опиши, что ты видишь в отсеке [component_name], включая количество, расположение и внешний вид». В сумме это даёт 5 × 6 = 30 обращений к модели на первой стадии — против пяти монолитных вызовов в baseline.</w:t>
      </w:r>
    </w:p>
    <w:p>
      <w:pPr>
        <w:spacing w:before="0" w:after="0" w:line="360" w:lineRule="auto"/>
        <w:ind w:firstLine="709"/>
        <w:jc w:val="both"/>
      </w:pPr>
      <w:r>
        <w:rPr>
          <w:rFonts w:ascii="Times New Roman" w:hAnsi="Times New Roman"/>
          <w:sz w:val="28"/>
        </w:rPr>
        <w:t>Зачем нужна такая декомпозиция? При монолитном описании модель склонна дорисовывать несуществующие объекты или, наоборот, терять компоненты в насыщенной сцене. Покомпонентный промптинг удерживает внимание модели на одном элементе за раз и снимает взаимную интерференцию между компонентами. Результат измерим: показатель CCR (Constraint Coverage Rate) поднялся с 63.3% в baseline до 100% в покомпонентном режиме.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Задача стадии 2 — свести описания всех нормальных изображений в одно нормативное определение нормальности объекта. Эта свёртка выполняется в два шага.</w:t>
      </w:r>
    </w:p>
    <w:p>
      <w:pPr>
        <w:spacing w:before="0" w:after="0" w:line="360" w:lineRule="auto"/>
        <w:ind w:firstLine="709"/>
        <w:jc w:val="both"/>
      </w:pPr>
      <w:r>
        <w:rPr>
          <w:rFonts w:ascii="Times New Roman" w:hAnsi="Times New Roman"/>
          <w:sz w:val="28"/>
        </w:rPr>
        <w:t>Первый шаг — hedge-filtering. Из описаний удаляются формулировки с маркерами неуверенности: «sometimes», «occasionally», «may», «might», «appears to», «seems to». Подобные утверждения не описывают инвариантных свойств нормы, и, попади они в контрольный список, они порождали бы ненадёжные вопросы.</w:t>
      </w:r>
    </w:p>
    <w:p>
      <w:pPr>
        <w:spacing w:before="0" w:after="0" w:line="360" w:lineRule="auto"/>
        <w:ind w:firstLine="709"/>
        <w:jc w:val="both"/>
      </w:pPr>
      <w:r>
        <w:rPr>
          <w:rFonts w:ascii="Times New Roman" w:hAnsi="Times New Roman"/>
          <w:sz w:val="28"/>
        </w:rPr>
        <w:t>Второй шаг — структурирование. Итоговое определение раскладывается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Такое представление гарантирует полноту охвата ограничений и служит отправной точкой для генерации вопросов на стадии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3 нормативное определение превращается в набор бинарных проверочных вопросов. Работа здесь делится на три подстадии.</w:t>
      </w:r>
    </w:p>
    <w:p>
      <w:pPr>
        <w:spacing w:before="0" w:after="0" w:line="360" w:lineRule="auto"/>
        <w:ind w:firstLine="709"/>
        <w:jc w:val="both"/>
      </w:pPr>
      <w:r>
        <w:rPr>
          <w:rFonts w:ascii="Times New Roman" w:hAnsi="Times New Roman"/>
          <w:sz w:val="28"/>
        </w:rPr>
        <w:t>Подстадия 3a отвечает за структурированную генерацию. Опираясь на нормативное определение, VLM выдаёт 8–12 бинарных вопросов-кандидатов в заданном промптом формате «Does the image show [constraint]? Answer Yes or No.». Каждый такой вопрос привязан ровно к одному ограничению нормального состояния.</w:t>
      </w:r>
    </w:p>
    <w:p>
      <w:pPr>
        <w:spacing w:before="0" w:after="0" w:line="360" w:lineRule="auto"/>
        <w:ind w:firstLine="709"/>
        <w:jc w:val="both"/>
      </w:pPr>
      <w:r>
        <w:rPr>
          <w:rFonts w:ascii="Times New Roman" w:hAnsi="Times New Roman"/>
          <w:sz w:val="28"/>
        </w:rPr>
        <w:t>Подстадия 3b — это фильтрация. Каждый кандидат прогоняется по 15 валидационным нормальным изображениям и проходит дальше лишь тогда, когда модель отвечает «Yes» не менее чем в 80% случаев; так в наборе остаются устойчивые, а не случайные свойства. Поверх базового порога работают два дополнительных механизма. Count-bypass выводит вопросы на точное количество («exactly N мандаринов») из-под 80%-порога, поскольку на валидации модель считает объекты заведомо плохо. Stem-matching применяет при разборе ответа лемматизацию основ («almonds» → «almond», «tangerines» → «tangerine»), снимая ложные отклонения, вызванные лишь грамматической формой слова.</w:t>
      </w:r>
    </w:p>
    <w:p>
      <w:pPr>
        <w:spacing w:before="0" w:after="0" w:line="360" w:lineRule="auto"/>
        <w:ind w:firstLine="709"/>
        <w:jc w:val="both"/>
      </w:pPr>
      <w:r>
        <w:rPr>
          <w:rFonts w:ascii="Times New Roman" w:hAnsi="Times New Roman"/>
          <w:sz w:val="28"/>
        </w:rPr>
        <w:t>Наконец, подстадия 3c занимается аугментацией: каждый прошедший фильтр вопрос перефразируется в четыре лингвистических варианта (sub-questions) с сохранением смысла. Это и открывает возможность голосования большинством при тестировании — аномалия по вопросу фиксируется, если «No» отвечают минимум 3 из 4 sub-questions.</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Работу фильтра наглядно показывает таблица 2.2. Вопросы на точное количество удерживаются в наборе механизмом count-bypass независимо от их валидационного балла, а вот неустойчивые вопросы с баллом ниже 80% — о визуальной однородности и о пространственном расположении — отсеиваются. В итоге остаются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4 тестовое изображение проверяется по сформированному набору вопросов. Главное нововведение этой стадии — RC4-A, встроенный (inline) Chain-of-Thought промпт, который требует от модели проговорить наблюдения прежде, чем вынести окончательный ответ.</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Итоговое решение принимается так. По каждому основному вопросу сначала проводится голосование большинством среди его 4 sub-questions. Затем изображение помечается как аномальное (is_anomaly=True), если ответ «No» получили не менее anomaly_min_failures=2 основных вопросов. Для расчёта AUROC дополнительно вводится непрерывная оценка anomaly score — доля вопросов с ответом «No» от их общего числа.</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[12],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[13]).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[15]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[16]: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[17, 18]: доля формальных ограничений нормальности (ATOMIC_CONSTRAINTS), упомянутых в сгенерированном описании. Подход мотивирован метриками типа FaithScore [17]: разложение описания на атомарные факты и их независимая верификация без эталонного текста высококоррелирует с оценкой людей. Оценивается LLM-as-Judge [19] (Qwen2.5-3B-Instruct), обоснованность которого подтверждена Prometheus-Vision [18]: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на нём проверяется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измеряет среднее абсолютное расхождение между количеством объекта, названным в описании, и его истинным числом. Скажем, если в описании указано «3 мандарина» при фактических двух, MACE равен 1.</w:t>
      </w:r>
    </w:p>
    <w:p>
      <w:pPr>
        <w:spacing w:before="0" w:after="0" w:line="360" w:lineRule="auto"/>
        <w:ind w:left="709" w:hanging="283"/>
        <w:jc w:val="both"/>
      </w:pPr>
      <w:r>
        <w:rPr>
          <w:rFonts w:ascii="Times New Roman" w:hAnsi="Times New Roman"/>
          <w:sz w:val="28"/>
        </w:rPr>
        <w:t>— SRA (Spatial Relation Accuracy) [13, 14] — это доля верно описанных пространственных отношений между компонентами (left/right/above/below). Выделить пространственное рассуждение в отдельную метрику нас побудили результаты работы «What's Up with Vision-Language Models?» [14], где даже SOTA-модели после дообучения дотягивают лишь до 56% точности на таких задачах против 99% у человека. Отслеживая SRA, мы отделяем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Уровень L2.5 отвечает за качество фильтрации вопросов, то есть за то, насколько хорошо итоговый набор покрывает формальные ограничения нормы. Зачем он нужен, поясняет наблюдение из VALOR-EVAL [15]: бывает, что описание получилось полным и точным (уровни L1–L2), а собранные по нему вопросы всё равно проходят мимо ключевых ограничений. Считаются здесь две величины. Filter Precision — какая часть вопросов финального набора попадает хотя бы в одно формальное ограничение (оценку выставляет LLM-as-Judge). Filter Recall, наоборот, — какая часть формальных ограничений охвачена этим набором вопросов.</w:t>
      </w:r>
    </w:p>
    <w:p>
      <w:pPr>
        <w:spacing w:before="0" w:after="0" w:line="360" w:lineRule="auto"/>
        <w:ind w:firstLine="709"/>
        <w:jc w:val="both"/>
      </w:pPr>
      <w:r>
        <w:rPr>
          <w:rFonts w:ascii="Times New Roman" w:hAnsi="Times New Roman"/>
          <w:sz w:val="28"/>
        </w:rPr>
        <w:t>Уровень L3 — рассуждение (Reasoning). На нём проверяется, насколько устойчивы ответы модели. Подсказку даёт работа «Uncertainty in Vision-Language Models» [20]: оказывается, точность и уверенность модели идут вразнобой, и порой именно самые точные модели оказываются наименее уверенными. Раз так, единичному ответу доверять рискованно — стоит посмотреть, сохранится ли он при перефразировках. Этим и занимается Sub-Q Consistency Score [20]: для каждого вопроса он измеряет долю совпадающих ответов среди его 4 sub-questions. Высокая доля выдаёт уверенность модели, низкая — что ответ держится скорее на поверхностных языковых шаблонах, чем на разборе самого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Вместе уровни L1–L4 из таблицы 2.3 выстраиваются в сквозную диагностическую цепочку. Она ведёт от качества восприятия (описаний) к точности атрибутов и фильтрации вопросов, затем к устойчивости рассуждения и, наконец, к самому обнаружению. Благодаря такой разбивке ошибку удаётся привязать к конкретной стадии пайплайна, а не довольствоваться одной лишь итоговой цифрой.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Построен четырёхстадийный пайплайн: он покомпонентно описывает нормальные изображения, сводит описания в нормативное определение, структурированно порождает и фильтрует вопросы и, наконец, тестирует изображение по схеме CoT с голосованием большинством.</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Программный стек построен на Python 3.10 и включает HuggingFace Transformers 4.47+, CLIP ViT-B/32 (openai/clip-vit-base-patch32), Qwen2.5-3B-Instruct в роли LLM-as-Judge, torchvision, numpy и scikit-learn (для расчёта AUROC). Экспериментами управляют YAML-конфигурации с валидацией через pydantic.</w:t>
      </w:r>
    </w:p>
    <w:p>
      <w:pPr>
        <w:spacing w:before="0" w:after="0" w:line="360" w:lineRule="auto"/>
        <w:ind w:firstLine="709"/>
        <w:jc w:val="both"/>
      </w:pPr>
      <w:r>
        <w:rPr>
          <w:rFonts w:ascii="Times New Roman" w:hAnsi="Times New Roman"/>
          <w:sz w:val="28"/>
        </w:rPr>
        <w:t>Отдельное внимание уделено воспроизводимости. Реализация опирается на несколько принципиальных решений, которых не было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стартуют с фиксированным seed=42 и ensemble_seeds={42}, а вызовы VLM выполняются при temperature=0.2 — это удерживает разброс ответов при повторных запусках на низком уровне.</w:t>
      </w:r>
    </w:p>
    <w:p>
      <w:pPr>
        <w:spacing w:before="0" w:after="0" w:line="360" w:lineRule="auto"/>
        <w:ind w:left="709" w:hanging="283"/>
        <w:jc w:val="both"/>
      </w:pPr>
      <w:r>
        <w:rPr>
          <w:rFonts w:ascii="Times New Roman" w:hAnsi="Times New Roman"/>
          <w:sz w:val="28"/>
        </w:rPr>
        <w:t>— Сохранение артефактов. Каждый запуск пишет файл run_artifacts.json со всеми промежуточными результатами, от описаний стадии 1 до ответов стадии 4. Благодаря этому любой шаг анализа или оценки можно повторить, не запуская VLM заново.</w:t>
      </w:r>
    </w:p>
    <w:p>
      <w:pPr>
        <w:spacing w:before="0" w:after="0" w:line="360" w:lineRule="auto"/>
        <w:ind w:left="709" w:hanging="283"/>
        <w:jc w:val="both"/>
      </w:pPr>
      <w:r>
        <w:rPr>
          <w:rFonts w:ascii="Times New Roman" w:hAnsi="Times New Roman"/>
          <w:sz w:val="28"/>
        </w:rPr>
        <w:t>— Единый источник истины — YAML-конфигурация. Каждый запуск целиком задаётся файлом configs/rN_class.yaml, где параметры model_name, n_shots, n_val, anomaly_min_failures и прочие прописаны явно, без скрытых значений по умолчанию; это исключает незаметные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всех пяти классов MVTec LOCO AD вынесены в модуль logicqa/data/normality_definitions.py. В оригинальном LogicQA такого компонента нет; он даёт возможность работать с заранее подготовленными вопросами (pre-built questions), пропуская стадии 1–3, и сокращает время запуска в 3–5 раз.</w:t>
      </w:r>
    </w:p>
    <w:p>
      <w:pPr>
        <w:spacing w:before="0" w:after="0" w:line="360" w:lineRule="auto"/>
        <w:ind w:left="709" w:hanging="283"/>
        <w:jc w:val="both"/>
      </w:pPr>
      <w:r>
        <w:rPr>
          <w:rFonts w:ascii="Times New Roman" w:hAnsi="Times New Roman"/>
          <w:sz w:val="28"/>
        </w:rPr>
        <w:t>— Заранее построенные вопросы (pre-built questions). Для запусков r27–r30 вопросы составлены вручную по нормативным определениям и сохранены в JSON-файлах (questions/class_name_questions.json); пайплайн подхватывает их через параметр --questions_file, минуя стадии 1–3. Так из процесса убирается стохастичность генерации вопросов — ещё один источник разброса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InternVL2.5-8B загружается через HuggingFace AutoModel в режиме dtype=torch.float16 и device_map='auto', занимая около 16 GB VRAM, и поэтому целиком умещается на одном GPU A100.</w:t>
      </w:r>
    </w:p>
    <w:p>
      <w:pPr>
        <w:spacing w:before="0" w:after="0" w:line="360" w:lineRule="auto"/>
        <w:ind w:firstLine="709"/>
        <w:jc w:val="both"/>
      </w:pPr>
      <w:r>
        <w:rPr>
          <w:rFonts w:ascii="Times New Roman" w:hAnsi="Times New Roman"/>
          <w:sz w:val="28"/>
        </w:rPr>
        <w:t>AWQ (Activation-aware Weight Quantization) [21] — это метод 4-битной посттренировочной квантизации. В его основе лежит простое наблюдение: ошибка квантизации распределена неравномерно, и львиную её долю вносит лишь небольшая доля весовых каналов. AWQ находит такие «важные» каналы по статистике активаций и либо оставляет их в FP16, либо масштабирует так, чтобы свести квантизационную ошибку к минимуму. В результате квантованная модель сохраняет качество без какого-либо дообучения. Для 38B-модели приём снижает требования к памяти примерно с 76 GB до 40 GB.</w:t>
      </w:r>
    </w:p>
    <w:p>
      <w:pPr>
        <w:spacing w:before="0" w:after="0" w:line="360" w:lineRule="auto"/>
        <w:ind w:firstLine="709"/>
        <w:jc w:val="both"/>
      </w:pPr>
      <w:r>
        <w:rPr>
          <w:rFonts w:ascii="Times New Roman" w:hAnsi="Times New Roman"/>
          <w:sz w:val="28"/>
        </w:rPr>
        <w:t>Интеграция InternVL2.5-38B-AWQ потребовала выявить и устранить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Все параметры пайплайна удобно разбить на три категории. К первой относятся параметры модели (model_name, n_shots), задающие саму VLM и число нормальных примеров в контексте. Вторая категория — параметры качества (n_val, n_questions, n_subquestions, count_bypass, stem_matching), отвечающие за фильтрацию и аугментацию вопросов. Третью образуют параметры принятия решения (anomaly_min_failures, stage4_cot), которые определяют порог аномальности и режим рассуждения.</w:t>
      </w:r>
    </w:p>
    <w:p>
      <w:pPr>
        <w:spacing w:before="0" w:after="0" w:line="360" w:lineRule="auto"/>
        <w:ind w:firstLine="709"/>
        <w:jc w:val="both"/>
      </w:pPr>
      <w:r>
        <w:rPr>
          <w:rFonts w:ascii="Times New Roman" w:hAnsi="Times New Roman"/>
          <w:sz w:val="28"/>
        </w:rPr>
        <w:t>Все эти параметры вынесены в систему конфигурации именно ради воспроизводимости. Любое изменение методологии закрепляется в отдельном YAML-файле (configs/rN_class.yaml), так что восстановить конкретный эксперимент можно прямо из его конфигурации, не трогая код. В оригинальном LogicQA подобной системы нет: параметры зашиты непосредственно в код, из-за чего повторить отдельный запуск заметно сложнее.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Многокарточный inference не поддерживается, поэтому 8B-модель работает в пределах одного устройства A100 (16 GB VRAM).</w:t>
      </w:r>
    </w:p>
    <w:p>
      <w:pPr>
        <w:spacing w:before="0" w:after="0" w:line="360" w:lineRule="auto"/>
        <w:ind w:left="709" w:hanging="283"/>
        <w:jc w:val="both"/>
      </w:pPr>
      <w:r>
        <w:rPr>
          <w:rFonts w:ascii="Times New Roman" w:hAnsi="Times New Roman"/>
          <w:sz w:val="28"/>
        </w:rPr>
        <w:t>— Качество LLM-судьи. У Qwen2.5-3B-Instruct показатель Filter Precision составляет всего 21.05%: модель плохо сопоставляет вопросы с формальными ограничениями, поскольку 3B-модели недостаёт точности в семантическом сравнении перефразировок. Чтобы поднять эту точность, нужен более крупный судья.</w:t>
      </w:r>
    </w:p>
    <w:p>
      <w:pPr>
        <w:spacing w:before="0" w:after="0" w:line="360" w:lineRule="auto"/>
        <w:ind w:left="709" w:hanging="283"/>
        <w:jc w:val="both"/>
      </w:pPr>
      <w:r>
        <w:rPr>
          <w:rFonts w:ascii="Times New Roman" w:hAnsi="Times New Roman"/>
          <w:sz w:val="28"/>
        </w:rPr>
        <w:t>— Подмножество тестовых изображений. Декомпозированный пайплайн отлаживался на 50 тестовых снимках (25 good и 25 anomaly) вместо полных 275 из baseline. Такой объём ускоряет итерации, но снижает статистическую значимость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оформлена как модульный пакет на Python с YAML-конфигурацией и сохранением всех промежуточных артефактов, благодаря чему каждый эксперимент воспроизводится однозначно.</w:t>
      </w:r>
    </w:p>
    <w:p>
      <w:pPr>
        <w:spacing w:before="0" w:after="0" w:line="360" w:lineRule="auto"/>
        <w:ind w:left="709" w:hanging="283"/>
        <w:jc w:val="both"/>
      </w:pPr>
      <w:r>
        <w:rPr>
          <w:rFonts w:ascii="Times New Roman" w:hAnsi="Times New Roman"/>
          <w:sz w:val="28"/>
        </w:rPr>
        <w:t>2. Добавлена поддержка AWQ-квантизации: она позволяет запускать InternVL2.5-38B на одном GPU A100, причём по ходу интеграции пришлось устранить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[5],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Причина разрыва кроется в самих моделях: GPT-4o куда увереннее рассуждает о пространстве и считает объекты, чем открытая InternVL2.5-8B. По сути, это и есть формулировка нашей задачи — компенсировать слабости модели за счёт доработки пайплайна.</w:t>
      </w:r>
    </w:p>
    <w:p>
      <w:pPr>
        <w:spacing w:before="0" w:after="0" w:line="360" w:lineRule="auto"/>
        <w:ind w:firstLine="709"/>
        <w:jc w:val="both"/>
      </w:pPr>
      <w:r>
        <w:rPr>
          <w:rFonts w:ascii="Times New Roman" w:hAnsi="Times New Roman"/>
          <w:sz w:val="28"/>
        </w:rPr>
        <w:t>Дополнительно мы прогнали InternVL2.5-8B без улучшений на полном тестовом наборе breakfast_box из 275 изображений и получили AUROC=0.683, F1-max=0.772 (TP=109, FP=27, FN=64, TN=75). То, что эта цифра расходится с результатом на 50 изображениях (AUROC=0.589), вполне ожидаемо: подмножества разные, а при n=50 заметно сказывается случайность выборки.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Если проследить хронологию, вырисовывается следующая картина. Первая группа запусков (от structured_bb50 до visual_grounding_retry) исследовала монолитные подходы; среди них visual grounding retry дал AUROC=0.797, но ценой FP=19 — недопустимо большого числа ложных тревог. Запуски r18–r21 уже вводили декомпозированную стадию 1, однако просели до AUROC около 0.5 из-за ошибок в фильтрации и аугментации. Перелом наступил в r23 (AUROC=0.782), когда были починены стадии 3b, 3c и 4. А лучший результат — r25 с AUROC=0.852 и FP=0 — пришёл уже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По таблице 4.3 хорошо видно, на чём держится рост качества. Львиную долю прироста дают всего два изменения. Первое — починка count-bypass на стадии 3b, поднявшая AUROC с 0.500 до 0.782. Второе — встроенный CoT на стадии 4, который довёл AUROC до 0.852 и заодно обнулил ложноположительные срабатывания. Прочие доработки прирост почти не двигают, зато делают пайплайн стабильнее.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Ниже приведены промежуточные результаты иерархической оценки, полученные на ранних экспериментах.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Эти цифры (таблица 4.4) описывают пайплайн на промежуточной стадии разработки, ещё до появления покомпонентной стадии 1 и RC4-A. Для breakfast_box значение CLIPScore 84.77% говорит о неплохом семантическом соответствии между описаниями и изображениями. Зато CCR=63.33% сигнализирует о проблеме: треть формальных ограничений нормальности в описания просто не попадает, и именно отсюда берутся пропущенные на этом этапе аномалии. У screw_bag ситуация ещё хуже (CCR=44.00%): когда счётных деталей шесть типов, монолитный промпт физически не успевает уделить внимание каждому компоненту. Наконец, Sub-Q Consistency 58.33% у breakfast_box обнажает нестабильность ответов: достаточно перефразировать вопрос, и почти в половине случаев модель отвечает иначе, отчего голосование большинством теряет надёжность.</w:t>
      </w:r>
    </w:p>
    <w:p>
      <w:pPr>
        <w:spacing w:before="0" w:after="0" w:line="360" w:lineRule="auto"/>
        <w:ind w:firstLine="709"/>
        <w:jc w:val="both"/>
      </w:pPr>
      <w:r>
        <w:rPr>
          <w:rFonts w:ascii="Times New Roman" w:hAnsi="Times New Roman"/>
          <w:sz w:val="28"/>
        </w:rPr>
        <w:t>Полную иерархическую оценку лучшего запуска r25 приводит таблица 4.5.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Диагностический профиль лучшего запуска r25 в таблице 4.5 читается по уровням. На уровне L1 достигнут CCR=100%: покомпонентная стадия 1 покрывает в описаниях все формальные ограничения нормальности, и это прямое следствие того, что модель сосредоточена на отдельных компонентах, а не на сцене целиком. Значение CLIPScore=69.72% умеренное и даже ниже, чем на промежуточном этапе (84.77%); причина в том, что покомпонентные описания более узкие и хуже передают сцену в целом, что и снижает косинусное сходство. На уровне L2 ошибка счёта мала (MACE=0.24) — количество компонентов модель определяет в большинстве случаев верно, тогда как Spatial Accuracy=64.25% показывает лишь частичную точность пространственных утверждений и остаётся главным источником оставшихся пропусков (FN=10). На уровне L3 устойчивость средняя (Sub-Q Consistency=70.51%): при перефразировках модель сохраняет ответ примерно в семи случаях из десяти. Наконец, на уровне L4 на подмножестве из 50 изображений получены AUROC=100% и F1-max=100% — нормальные и аномальные изображения при оптимальном пороге разделяются по anomaly score полностью.</w:t>
      </w:r>
    </w:p>
    <w:p>
      <w:pPr>
        <w:spacing w:before="0" w:after="0" w:line="360" w:lineRule="auto"/>
        <w:ind w:firstLine="709"/>
        <w:jc w:val="both"/>
      </w:pPr>
      <w:r>
        <w:rPr>
          <w:rFonts w:ascii="Times New Roman" w:hAnsi="Times New Roman"/>
          <w:sz w:val="28"/>
        </w:rPr>
        <w:t>Отдельного разбора заслуживает уровень L2.5 с Filter Precision=21.05%. Низкое значение вскрывает принципиальное ограничение судьи: Qwen2.5-3B-Instruct не улавливает семантически близкие перефразировки и потому нередко относит корректные вопросы к не покрывающим ограничения. На итоговое качество детекции (L4) это не влияет, но диагностическую ценность самой метрики L2.5 заметно снижает. Выход — задействовать более сильного судью, например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изолировать эффект RC4-A, сопоставим запуски r23 и r25 (таблица 4.6).</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сводит ложные срабатывания к нулю (FP: 12→0), но платой за это становится рост числа пропущенных аномалий (FN: 3→10). Перед нами типичный компромисс: более строгая проверка, требующая наблюдения до вывода, повышает специфичность ценой чувствительности. Природа исчезновения FP хорошо ложится на логику POPE [13]: в r23 модель отвечала «Yes» не оттого, что нарушения действительно не было, а оттого, что её ничто не обязывало это нарушение искать — и RC4-A как раз закрыл этот обходной путь.</w:t>
      </w:r>
    </w:p>
    <w:p>
      <w:pPr>
        <w:spacing w:before="0" w:after="0" w:line="360" w:lineRule="auto"/>
        <w:ind w:firstLine="709"/>
        <w:jc w:val="both"/>
      </w:pPr>
      <w:r>
        <w:rPr>
          <w:rFonts w:ascii="Times New Roman" w:hAnsi="Times New Roman"/>
          <w:sz w:val="28"/>
        </w:rPr>
        <w:t>Если разобрать структуру FN=10, выясняется, что порядка 70% пропусков приходится на пространственные нарушения — неверное взаимное расположение компонентов или их сдвиг относительно отсеков коробки. Картина в точности повторяет уже отмеченную слабость VLM в пространственном рассуждении из «What's Up with VLMs?» [14], где даже дообученные SOTA-модели берут лишь 56% против 99% у человека. На шаге Step 1 CoT-наблюдение верно передаёт геометрию сцены, однако языкового модуля масштаба 8B не всегда хватает, чтобы сверить с этой геометрией нормативное пространственное ограничение. Отсюда и наш SRA=64.25%: он ощутимо выше случайного уровня, но не дотягивает до человеческого, и именно он определяет большую часть оставшихся ошибок. Логично предположить, что InternVL2.5-38B с более мощным языковым модулем (в основе — Qwen2.5-72B) рассуждает о пространстве заметно лучше [11] и потому должен сократить FN на пространственных аномалиях.</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поместить полученные числа в контекст, сопоставим наш подход с оригинальным LogicQA [7].</w:t>
      </w:r>
    </w:p>
    <w:p>
      <w:pPr>
        <w:spacing w:before="0" w:after="0" w:line="360" w:lineRule="auto"/>
        <w:ind w:firstLine="709"/>
        <w:jc w:val="both"/>
      </w:pPr>
      <w:r>
        <w:rPr>
          <w:rFonts w:ascii="Times New Roman" w:hAnsi="Times New Roman"/>
          <w:sz w:val="28"/>
        </w:rPr>
        <w:t>Оригинальный LogicQA на GPT-4o показывает средний AUROC около 0.876 по всем пяти классам MVTec LOCO AD. Наш базовый вариант на InternVL2.5-8B даёт лишь 0.527 в среднем, однако после доработок тот же InternVL2.5-8B (запуск r25) достигает 0.852 на breakfast_box. Иными словами, на отдельно взятом классе улучшенный пайплайн выводит открытую и заметно более слабую модель на уровень, сопоставимый с GPT-4o. Практическая выгода при этом очевидна: полная воспроизводимость, отсутствие платы за API и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В базовой конфигурации InternVL2.5-8B набирает в среднем 0.527 AUROC по пяти классам MVTec LOCO AD — это заметно ниже 0.876 у оригинального LogicQA на GPT-4o и подтверждает, что слабости открытой модели приходится компенсировать доработкой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проследила постепенный рост AUROC от 0.521 (r18) до 0.852 (r25) на классе breakfast_box; решающий вклад внесли починка стадий 3b/3c (r23, +0.28 AUROC) и встроенный CoT RC4-A (r25, +0.07 AUROC при FP=0).</w:t>
      </w:r>
    </w:p>
    <w:p>
      <w:pPr>
        <w:spacing w:before="0" w:after="0" w:line="360" w:lineRule="auto"/>
        <w:ind w:left="709" w:hanging="283"/>
        <w:jc w:val="both"/>
      </w:pPr>
      <w:r>
        <w:rPr>
          <w:rFonts w:ascii="Times New Roman" w:hAnsi="Times New Roman"/>
          <w:sz w:val="28"/>
        </w:rPr>
        <w:t>3. Лучший результат не уступает GPT-4o, оставаясь при этом бесплатным по API и полностью воспроизводимым; вместе с тем иерархическая оценка вскрыла узкое место на уровне L2.5 — слабость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Настоящая работа ставила целью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Для достижения этой цели решён следующий комплекс задач.</w:t>
      </w:r>
    </w:p>
    <w:p>
      <w:pPr>
        <w:spacing w:before="0" w:after="0" w:line="360" w:lineRule="auto"/>
        <w:ind w:left="709" w:hanging="283"/>
        <w:jc w:val="both"/>
      </w:pPr>
      <w:r>
        <w:rPr>
          <w:rFonts w:ascii="Times New Roman" w:hAnsi="Times New Roman"/>
          <w:sz w:val="28"/>
        </w:rPr>
        <w:t>1. Выполнен обзор существующих методов обнаружения аномалий. По его итогам установлено, что embedding-based и reconstruction-based подходы к логическим аномалиям неприменимы, а единственным перспективным направлением остаётся семантическое рассуждение на базе VLM.</w:t>
      </w:r>
    </w:p>
    <w:p>
      <w:pPr>
        <w:spacing w:before="0" w:after="0" w:line="360" w:lineRule="auto"/>
        <w:ind w:left="709" w:hanging="283"/>
        <w:jc w:val="both"/>
      </w:pPr>
      <w:r>
        <w:rPr>
          <w:rFonts w:ascii="Times New Roman" w:hAnsi="Times New Roman"/>
          <w:sz w:val="28"/>
        </w:rPr>
        <w:t>2. Метод LogicQA воспроизведён на InternVL2.5-8B, что задало базовые ориентиры — средний AUROC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Zavrtanik, V. DRAEM – A Discriminatively Trained Reconstruction Embedding for Surface Anomaly Detection / V. Zavrtanik, M. Kristan, D. Skočaj // Proceedings of the IEEE/CVF International Conference on Computer Vision (ICCV). – 2021. – P. 8330–8339. – Текст : непосредственный.</w:t>
      </w:r>
    </w:p>
    <w:p>
      <w:pPr>
        <w:spacing w:before="0" w:after="0" w:line="360" w:lineRule="auto"/>
        <w:ind w:left="567" w:hanging="567"/>
        <w:jc w:val="both"/>
      </w:pPr>
      <w:r>
        <w:rPr>
          <w:rFonts w:ascii="Times New Roman" w:hAnsi="Times New Roman"/>
          <w:sz w:val="28"/>
        </w:rPr>
        <w:t>2. Wang, G. Student-Teacher Feature Pyramid Matching for Unsupervised Anomaly Detection / G. Wang, S. Han, E. Ding, D. Huang // Proceedings of the British Machine Vision Conference (BMVC). – 2021. – 14 p. – Текст : непосредственный.</w:t>
      </w:r>
    </w:p>
    <w:p>
      <w:pPr>
        <w:spacing w:before="0" w:after="0" w:line="360" w:lineRule="auto"/>
        <w:ind w:left="567" w:hanging="567"/>
        <w:jc w:val="both"/>
      </w:pPr>
      <w:r>
        <w:rPr>
          <w:rFonts w:ascii="Times New Roman" w:hAnsi="Times New Roman"/>
          <w:sz w:val="28"/>
        </w:rPr>
        <w:t>3. Deng, H. Anomaly Detection via Reverse Distillation from One-Class Embedding / H. Deng, X. Li // Proceedings of the IEEE/CVF Conference on Computer Vision and Pattern Recognition (CVPR). – 2022. – P. 9737–9746. – Текст : непосредственный.</w:t>
      </w:r>
    </w:p>
    <w:p>
      <w:pPr>
        <w:spacing w:before="0" w:after="0" w:line="360" w:lineRule="auto"/>
        <w:ind w:left="567" w:hanging="567"/>
        <w:jc w:val="both"/>
      </w:pPr>
      <w:r>
        <w:rPr>
          <w:rFonts w:ascii="Times New Roman" w:hAnsi="Times New Roman"/>
          <w:sz w:val="28"/>
        </w:rPr>
        <w:t>4. Roth, K. Towards Total Recall in Industrial Anomaly Detection / K. Roth, L. Pemula, J. Zepeda [et al.] // Proceedings of the IEEE/CVF Conference on Computer Vision and Pattern Recognition (CVPR). – 2022. – P. 14298–14308. – Текст : непосредственный.</w:t>
      </w:r>
    </w:p>
    <w:p>
      <w:pPr>
        <w:spacing w:before="0" w:after="0" w:line="360" w:lineRule="auto"/>
        <w:ind w:left="567" w:hanging="567"/>
        <w:jc w:val="both"/>
      </w:pPr>
      <w:r>
        <w:rPr>
          <w:rFonts w:ascii="Times New Roman" w:hAnsi="Times New Roman"/>
          <w:sz w:val="28"/>
        </w:rPr>
        <w:t>5. Bergmann, P. Beyond Dents and Scratches: Logical Constraints in Unsupervised Anomaly Detection and Localization / P. Bergmann, K. Batzner, M. Fauser [et al.] // International Journal of Computer Vision. – 2022. – Vol. 130. – P. 947–969. – Текст : непосредственный.</w:t>
      </w:r>
    </w:p>
    <w:p>
      <w:pPr>
        <w:spacing w:before="0" w:after="0" w:line="360" w:lineRule="auto"/>
        <w:ind w:left="567" w:hanging="567"/>
        <w:jc w:val="both"/>
      </w:pPr>
      <w:r>
        <w:rPr>
          <w:rFonts w:ascii="Times New Roman" w:hAnsi="Times New Roman"/>
          <w:sz w:val="28"/>
        </w:rPr>
        <w:t>6. Jeong, J. WinCLIP: Zero-/Few-Shot Anomaly Classification and Segmentation / J. Jeong, Y. Zou, T. Kim [et al.] // Proceedings of the IEEE/CVF Conference on Computer Vision and Pattern Recognition (CVPR). – 2023. – P. 19606–19616. – Текст : непосредственный.</w:t>
      </w:r>
    </w:p>
    <w:p>
      <w:pPr>
        <w:spacing w:before="0" w:after="0" w:line="360" w:lineRule="auto"/>
        <w:ind w:left="567" w:hanging="567"/>
        <w:jc w:val="both"/>
      </w:pPr>
      <w:r>
        <w:rPr>
          <w:rFonts w:ascii="Times New Roman" w:hAnsi="Times New Roman"/>
          <w:sz w:val="28"/>
        </w:rPr>
        <w:t>7. Kwon, Y. LogicQA: Question-Checklist-Based Anomaly Detection Using Vision-Language Models / Y. Kwon, S. Kim, J. Choi // arXiv. – 2025. – arXiv:2503.20252. – URL: https://arxiv.org/abs/2503.20252 (дата обращения: 18.06.2026). – Текст : электронный.</w:t>
      </w:r>
    </w:p>
    <w:p>
      <w:pPr>
        <w:spacing w:before="0" w:after="0" w:line="360" w:lineRule="auto"/>
        <w:ind w:left="567" w:hanging="567"/>
        <w:jc w:val="both"/>
      </w:pPr>
      <w:r>
        <w:rPr>
          <w:rFonts w:ascii="Times New Roman" w:hAnsi="Times New Roman"/>
          <w:sz w:val="28"/>
        </w:rPr>
        <w:t>8. ISO 9001:2015. Quality management systems – Requirements. – Geneva : ISO, 2015. – 29 p. – Текст : непосредственный.</w:t>
      </w:r>
    </w:p>
    <w:p>
      <w:pPr>
        <w:spacing w:before="0" w:after="0" w:line="360" w:lineRule="auto"/>
        <w:ind w:left="567" w:hanging="567"/>
        <w:jc w:val="both"/>
      </w:pPr>
      <w:r>
        <w:rPr>
          <w:rFonts w:ascii="Times New Roman" w:hAnsi="Times New Roman"/>
          <w:sz w:val="28"/>
        </w:rPr>
        <w:t>9. Batzner, K. EfficientAD: Accurate Visual Anomaly Detection at Millisecond-Level Latencies / K. Batzner, L. Heckler, R. Büttner // Proceedings of the IEEE/CVF Winter Conference on Applications of Computer Vision (WACV). – 2024. – P. 128–138. – Текст : непосредственный.</w:t>
      </w:r>
    </w:p>
    <w:p>
      <w:pPr>
        <w:spacing w:before="0" w:after="0" w:line="360" w:lineRule="auto"/>
        <w:ind w:left="567" w:hanging="567"/>
        <w:jc w:val="both"/>
      </w:pPr>
      <w:r>
        <w:rPr>
          <w:rFonts w:ascii="Times New Roman" w:hAnsi="Times New Roman"/>
          <w:sz w:val="28"/>
        </w:rPr>
        <w:t>10. Radford, A. Learning Transferable Visual Models From Natural Language Supervision / A. Radford, J. W. Kim, C. Hallacy [et al.] // Proceedings of the 38th International Conference on Machine Learning (ICML). – 2021. – P. 8748–8763. – Текст : непосредственный.</w:t>
      </w:r>
    </w:p>
    <w:p>
      <w:pPr>
        <w:spacing w:before="0" w:after="0" w:line="360" w:lineRule="auto"/>
        <w:ind w:left="567" w:hanging="567"/>
        <w:jc w:val="both"/>
      </w:pPr>
      <w:r>
        <w:rPr>
          <w:rFonts w:ascii="Times New Roman" w:hAnsi="Times New Roman"/>
          <w:sz w:val="28"/>
        </w:rPr>
        <w:t>11. Chen, Z. Expanding Performance Boundaries of Open-Source Multimodal Models with Model, Data, and Test-Time Scaling (InternVL 2.5) / Z. Chen, W. Wang, Y. Cao [et al.] // arXiv. – 2024. – arXiv:2412.05271. – URL: https://arxiv.org/abs/2412.05271 (дата обращения: 18.06.2026). – Текст : электронный.</w:t>
      </w:r>
    </w:p>
    <w:p>
      <w:pPr>
        <w:spacing w:before="0" w:after="0" w:line="360" w:lineRule="auto"/>
        <w:ind w:left="567" w:hanging="567"/>
        <w:jc w:val="both"/>
      </w:pPr>
      <w:r>
        <w:rPr>
          <w:rFonts w:ascii="Times New Roman" w:hAnsi="Times New Roman"/>
          <w:sz w:val="28"/>
        </w:rPr>
        <w:t>12. Wei, J. Chain-of-Thought Prompting Elicits Reasoning in Large Language Models / J. Wei, X. Wang, D. Schuurmans [et al.] // Advances in Neural Information Processing Systems (NeurIPS). – 2022. – Vol. 35. – P. 24824–24837. – Текст : непосредственный.</w:t>
      </w:r>
    </w:p>
    <w:p>
      <w:pPr>
        <w:spacing w:before="0" w:after="0" w:line="360" w:lineRule="auto"/>
        <w:ind w:left="567" w:hanging="567"/>
        <w:jc w:val="both"/>
      </w:pPr>
      <w:r>
        <w:rPr>
          <w:rFonts w:ascii="Times New Roman" w:hAnsi="Times New Roman"/>
          <w:sz w:val="28"/>
        </w:rPr>
        <w:t>13. Li, Y. Evaluating Object Hallucination in Large Vision-Language Models / Y. Li, Y. Du, K. Zhou [et al.] // Proceedings of the 2023 Conference on Empirical Methods in Natural Language Processing (EMNLP). – 2023. – P. 292–305. – Текст : непосредственный.</w:t>
      </w:r>
    </w:p>
    <w:p>
      <w:pPr>
        <w:spacing w:before="0" w:after="0" w:line="360" w:lineRule="auto"/>
        <w:ind w:left="567" w:hanging="567"/>
        <w:jc w:val="both"/>
      </w:pPr>
      <w:r>
        <w:rPr>
          <w:rFonts w:ascii="Times New Roman" w:hAnsi="Times New Roman"/>
          <w:sz w:val="28"/>
        </w:rPr>
        <w:t>14. Kamath, A. What's "up" with Vision-Language Models? Investigating Their Struggle with Spatial Reasoning / A. Kamath, J. Hessel, K.-W. Chang // Proceedings of the 2023 Conference on Empirical Methods in Natural Language Processing (EMNLP). – 2023. – P. 9161–9175. – Текст : непосредственный.</w:t>
      </w:r>
    </w:p>
    <w:p>
      <w:pPr>
        <w:spacing w:before="0" w:after="0" w:line="360" w:lineRule="auto"/>
        <w:ind w:left="567" w:hanging="567"/>
        <w:jc w:val="both"/>
      </w:pPr>
      <w:r>
        <w:rPr>
          <w:rFonts w:ascii="Times New Roman" w:hAnsi="Times New Roman"/>
          <w:sz w:val="28"/>
        </w:rPr>
        <w:t>15. Qiu, H. VALOR-EVAL: Holistic Coverage and Faithfulness Evaluation of Large Vision-Language Models / H. Qiu, W. Hu, Z.-Y. Dou [et al.] // arXiv. – 2024. – arXiv:2404.13874. – URL: https://arxiv.org/abs/2404.13874 (дата обращения: 18.06.2026). – Текст : электронный.</w:t>
      </w:r>
    </w:p>
    <w:p>
      <w:pPr>
        <w:spacing w:before="0" w:after="0" w:line="360" w:lineRule="auto"/>
        <w:ind w:left="567" w:hanging="567"/>
        <w:jc w:val="both"/>
      </w:pPr>
      <w:r>
        <w:rPr>
          <w:rFonts w:ascii="Times New Roman" w:hAnsi="Times New Roman"/>
          <w:sz w:val="28"/>
        </w:rPr>
        <w:t>16. Hessel, J. CLIPScore: A Reference-free Evaluation Metric for Image Captioning / J. Hessel, A. Holtzman, M. Forbes [et al.] // Proceedings of the 2021 Conference on Empirical Methods in Natural Language Processing (EMNLP). – 2021. – P. 7514–7528. – Текст : непосредственный.</w:t>
      </w:r>
    </w:p>
    <w:p>
      <w:pPr>
        <w:spacing w:before="0" w:after="0" w:line="360" w:lineRule="auto"/>
        <w:ind w:left="567" w:hanging="567"/>
        <w:jc w:val="both"/>
      </w:pPr>
      <w:r>
        <w:rPr>
          <w:rFonts w:ascii="Times New Roman" w:hAnsi="Times New Roman"/>
          <w:sz w:val="28"/>
        </w:rPr>
        <w:t>17. Jing, L. FaithScore: Evaluating Hallucinations in Large Vision-Language Models / L. Jing, R. Li, Y. Chen [et al.] // arXiv. – 2023. – arXiv:2311.01477. – URL: https://arxiv.org/abs/2311.01477 (дата обращения: 18.06.2026). – Текст : электронный.</w:t>
      </w:r>
    </w:p>
    <w:p>
      <w:pPr>
        <w:spacing w:before="0" w:after="0" w:line="360" w:lineRule="auto"/>
        <w:ind w:left="567" w:hanging="567"/>
        <w:jc w:val="both"/>
      </w:pPr>
      <w:r>
        <w:rPr>
          <w:rFonts w:ascii="Times New Roman" w:hAnsi="Times New Roman"/>
          <w:sz w:val="28"/>
        </w:rPr>
        <w:t>18. Lee, S. Prometheus-Vision: Vision-Language Model as a Judge for Fine-Grained Evaluation / S. Lee, S. Kim, S. Park [et al.] // Findings of the Association for Computational Linguistics (ACL). – 2024. – P. 11286–11315. – Текст : непосредственный.</w:t>
      </w:r>
    </w:p>
    <w:p>
      <w:pPr>
        <w:spacing w:before="0" w:after="0" w:line="360" w:lineRule="auto"/>
        <w:ind w:left="567" w:hanging="567"/>
        <w:jc w:val="both"/>
      </w:pPr>
      <w:r>
        <w:rPr>
          <w:rFonts w:ascii="Times New Roman" w:hAnsi="Times New Roman"/>
          <w:sz w:val="28"/>
        </w:rPr>
        <w:t>19. Zheng, L. Judging LLM-as-a-Judge with MT-Bench and Chatbot Arena / L. Zheng, W.-L. Chiang, Y. Sheng [et al.] // Advances in Neural Information Processing Systems (NeurIPS). – 2023. – Vol. 36. – P. 46595–46623. – Текст : непосредственный.</w:t>
      </w:r>
    </w:p>
    <w:p>
      <w:pPr>
        <w:spacing w:before="0" w:after="0" w:line="360" w:lineRule="auto"/>
        <w:ind w:left="567" w:hanging="567"/>
        <w:jc w:val="both"/>
      </w:pPr>
      <w:r>
        <w:rPr>
          <w:rFonts w:ascii="Times New Roman" w:hAnsi="Times New Roman"/>
          <w:sz w:val="28"/>
        </w:rPr>
        <w:t>20. Kostumov, V. Uncertainty-Aware Evaluation for Vision-Language Models / V. Kostumov, B. Nutfullin, O. Pilipenko, E. Ilyushin // arXiv. – 2024. – arXiv:2402.14418. – URL: https://arxiv.org/abs/2402.14418 (дата обращения: 18.06.2026). – Текст : электронный.</w:t>
      </w:r>
    </w:p>
    <w:p>
      <w:pPr>
        <w:spacing w:before="0" w:after="0" w:line="360" w:lineRule="auto"/>
        <w:ind w:left="567" w:hanging="567"/>
        <w:jc w:val="both"/>
      </w:pPr>
      <w:r>
        <w:rPr>
          <w:rFonts w:ascii="Times New Roman" w:hAnsi="Times New Roman"/>
          <w:sz w:val="28"/>
        </w:rPr>
        <w:t>21. Lin, J. AWQ: Activation-aware Weight Quantization for LLM Compression and Acceleration / J. Lin, J. Tang, H. Tang [et al.] // Proceedings of Machine Learning and Systems (MLSys). – 2024. – Vol. 6. – P. 87–100. – Текст : непосредственный.</w:t>
      </w:r>
    </w:p>
    <w:p>
      <w:pPr>
        <w:spacing w:before="0" w:after="0" w:line="360" w:lineRule="auto"/>
        <w:ind w:left="567" w:hanging="567"/>
        <w:jc w:val="both"/>
      </w:pPr>
      <w:r>
        <w:rPr>
          <w:rFonts w:ascii="Times New Roman" w:hAnsi="Times New Roman"/>
          <w:sz w:val="28"/>
        </w:rPr>
        <w:t>22. Deng, H. AnoVL: Adapting Vision-Language Models for Unified Zero-shot Anomaly Localization / H. Deng, Z. Zhang, J. Bao, X. Li // arXiv. – 2023. – arXiv:2308.15939. – URL: https://arxiv.org/abs/2308.15939 (дата обращения: 18.06.2026). – Текст : электронный.</w:t>
      </w:r>
    </w:p>
    <w:p>
      <w:pPr>
        <w:spacing w:before="0" w:after="0" w:line="360" w:lineRule="auto"/>
        <w:ind w:left="567" w:hanging="567"/>
        <w:jc w:val="both"/>
      </w:pPr>
      <w:r>
        <w:rPr>
          <w:rFonts w:ascii="Times New Roman" w:hAnsi="Times New Roman"/>
          <w:sz w:val="28"/>
        </w:rPr>
        <w:t>23. Cohen, N. Sub-Image Anomaly Detection with Deep Pyramid Correspondences (SPADE) / N. Cohen, Y. Hoshen // arXiv. – 2020. – arXiv:2005.02357. – URL: https://arxiv.org/abs/2005.02357 (дата обращения: 18.06.2026). – Текст : электронный.</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