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p>
    <w:p>
      <w:pPr>
        <w:tabs>
          <w:tab w:pos="9354" w:val="right" w:leader="dot"/>
        </w:tabs>
        <w:spacing w:before="0" w:after="0" w:line="360" w:lineRule="auto"/>
        <w:ind w:firstLine="0" w:left="0"/>
        <w:jc w:val="left"/>
      </w:pPr>
      <w:r>
        <w:rPr>
          <w:rFonts w:ascii="Times New Roman" w:hAnsi="Times New Roman"/>
          <w:sz w:val="28"/>
        </w:rPr>
        <w:t>Введение</w:t>
        <w:tab/>
      </w:r>
      <w:r>
        <w:rPr>
          <w:rFonts w:ascii="Times New Roman" w:hAnsi="Times New Roman"/>
          <w:sz w:val="28"/>
        </w:rPr>
        <w:t>7</w:t>
      </w:r>
    </w:p>
    <w:p>
      <w:pPr>
        <w:tabs>
          <w:tab w:pos="9354" w:val="right" w:leader="dot"/>
        </w:tabs>
        <w:spacing w:before="0" w:after="0" w:line="360" w:lineRule="auto"/>
        <w:ind w:firstLine="0" w:left="0"/>
        <w:jc w:val="left"/>
      </w:pPr>
      <w:r>
        <w:rPr>
          <w:rFonts w:ascii="Times New Roman" w:hAnsi="Times New Roman"/>
          <w:sz w:val="28"/>
        </w:rPr>
        <w:t>Раздел 1. Анализ предметной области и постановка задачи</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1.1 Задача обнаружения визуальных аномалий в промышленном контроле</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1.2 Обзор и сравнение существующих методов</w:t>
        <w:tab/>
      </w:r>
      <w:r>
        <w:rPr>
          <w:rFonts w:ascii="Times New Roman" w:hAnsi="Times New Roman"/>
          <w:sz w:val="28"/>
        </w:rPr>
        <w:t>11</w:t>
      </w:r>
    </w:p>
    <w:p>
      <w:pPr>
        <w:tabs>
          <w:tab w:pos="9354" w:val="right" w:leader="dot"/>
        </w:tabs>
        <w:spacing w:before="0" w:after="0" w:line="360" w:lineRule="auto"/>
        <w:ind w:firstLine="0" w:left="425"/>
        <w:jc w:val="left"/>
      </w:pPr>
      <w:r>
        <w:rPr>
          <w:rFonts w:ascii="Times New Roman" w:hAnsi="Times New Roman"/>
          <w:sz w:val="28"/>
        </w:rPr>
        <w:t>1.3 Визуально-языковые модели: архитектура и принципы</w:t>
        <w:tab/>
      </w:r>
      <w:r>
        <w:rPr>
          <w:rFonts w:ascii="Times New Roman" w:hAnsi="Times New Roman"/>
          <w:sz w:val="28"/>
        </w:rPr>
        <w:t>13</w:t>
      </w:r>
    </w:p>
    <w:p>
      <w:pPr>
        <w:tabs>
          <w:tab w:pos="9354" w:val="right" w:leader="dot"/>
        </w:tabs>
        <w:spacing w:before="0" w:after="0" w:line="360" w:lineRule="auto"/>
        <w:ind w:firstLine="0" w:left="425"/>
        <w:jc w:val="left"/>
      </w:pPr>
      <w:r>
        <w:rPr>
          <w:rFonts w:ascii="Times New Roman" w:hAnsi="Times New Roman"/>
          <w:sz w:val="28"/>
        </w:rPr>
        <w:t>1.4 Требования к training-free подходу</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1.5 Формальная постановка задачи</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Выводы по разделу 1</w:t>
        <w:tab/>
      </w:r>
      <w:r>
        <w:rPr>
          <w:rFonts w:ascii="Times New Roman" w:hAnsi="Times New Roman"/>
          <w:sz w:val="28"/>
        </w:rPr>
        <w:t>16</w:t>
      </w:r>
    </w:p>
    <w:p>
      <w:pPr>
        <w:tabs>
          <w:tab w:pos="9354" w:val="right" w:leader="dot"/>
        </w:tabs>
        <w:spacing w:before="0" w:after="0" w:line="360" w:lineRule="auto"/>
        <w:ind w:firstLine="0" w:left="0"/>
        <w:jc w:val="left"/>
      </w:pPr>
      <w:r>
        <w:rPr>
          <w:rFonts w:ascii="Times New Roman" w:hAnsi="Times New Roman"/>
          <w:sz w:val="28"/>
        </w:rPr>
        <w:t>Раздел 2. Разработанный метод обнаружения логических аномалий</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2.1 Общая архитектура пайплайна</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2.2 Stage 1: декомпозированное описание нормальных изображений</w:t>
        <w:tab/>
      </w:r>
      <w:r>
        <w:rPr>
          <w:rFonts w:ascii="Times New Roman" w:hAnsi="Times New Roman"/>
          <w:sz w:val="28"/>
        </w:rPr>
        <w:t>18</w:t>
      </w:r>
    </w:p>
    <w:p>
      <w:pPr>
        <w:tabs>
          <w:tab w:pos="9354" w:val="right" w:leader="dot"/>
        </w:tabs>
        <w:spacing w:before="0" w:after="0" w:line="360" w:lineRule="auto"/>
        <w:ind w:firstLine="0" w:left="425"/>
        <w:jc w:val="left"/>
      </w:pPr>
      <w:r>
        <w:rPr>
          <w:rFonts w:ascii="Times New Roman" w:hAnsi="Times New Roman"/>
          <w:sz w:val="28"/>
        </w:rPr>
        <w:t>2.3 Stage 2: формирование нормативного определения</w:t>
        <w:tab/>
      </w:r>
      <w:r>
        <w:rPr>
          <w:rFonts w:ascii="Times New Roman" w:hAnsi="Times New Roman"/>
          <w:sz w:val="28"/>
        </w:rPr>
        <w:t>19</w:t>
      </w:r>
    </w:p>
    <w:p>
      <w:pPr>
        <w:tabs>
          <w:tab w:pos="9354" w:val="right" w:leader="dot"/>
        </w:tabs>
        <w:spacing w:before="0" w:after="0" w:line="360" w:lineRule="auto"/>
        <w:ind w:firstLine="0" w:left="425"/>
        <w:jc w:val="left"/>
      </w:pPr>
      <w:r>
        <w:rPr>
          <w:rFonts w:ascii="Times New Roman" w:hAnsi="Times New Roman"/>
          <w:sz w:val="28"/>
        </w:rPr>
        <w:t>2.4 Stage 3: генерация, фильтрация и аугментация вопросов</w:t>
        <w:tab/>
      </w:r>
      <w:r>
        <w:rPr>
          <w:rFonts w:ascii="Times New Roman" w:hAnsi="Times New Roman"/>
          <w:sz w:val="28"/>
        </w:rPr>
        <w:t>20</w:t>
      </w:r>
    </w:p>
    <w:p>
      <w:pPr>
        <w:tabs>
          <w:tab w:pos="9354" w:val="right" w:leader="dot"/>
        </w:tabs>
        <w:spacing w:before="0" w:after="0" w:line="360" w:lineRule="auto"/>
        <w:ind w:firstLine="0" w:left="425"/>
        <w:jc w:val="left"/>
      </w:pPr>
      <w:r>
        <w:rPr>
          <w:rFonts w:ascii="Times New Roman" w:hAnsi="Times New Roman"/>
          <w:sz w:val="28"/>
        </w:rPr>
        <w:t>2.5 Stage 4: тестирование с inline Chain-of-Thought (RC4-A)</w:t>
        <w:tab/>
      </w:r>
      <w:r>
        <w:rPr>
          <w:rFonts w:ascii="Times New Roman" w:hAnsi="Times New Roman"/>
          <w:sz w:val="28"/>
        </w:rPr>
        <w:t>21</w:t>
      </w:r>
    </w:p>
    <w:p>
      <w:pPr>
        <w:tabs>
          <w:tab w:pos="9354" w:val="right" w:leader="dot"/>
        </w:tabs>
        <w:spacing w:before="0" w:after="0" w:line="360" w:lineRule="auto"/>
        <w:ind w:firstLine="0" w:left="425"/>
        <w:jc w:val="left"/>
      </w:pPr>
      <w:r>
        <w:rPr>
          <w:rFonts w:ascii="Times New Roman" w:hAnsi="Times New Roman"/>
          <w:sz w:val="28"/>
        </w:rPr>
        <w:t>2.6 Иерархическая система оценки (L1–L4)</w:t>
        <w:tab/>
      </w:r>
      <w:r>
        <w:rPr>
          <w:rFonts w:ascii="Times New Roman" w:hAnsi="Times New Roman"/>
          <w:sz w:val="28"/>
        </w:rPr>
        <w:t>22</w:t>
      </w:r>
    </w:p>
    <w:p>
      <w:pPr>
        <w:tabs>
          <w:tab w:pos="9354" w:val="right" w:leader="dot"/>
        </w:tabs>
        <w:spacing w:before="0" w:after="0" w:line="360" w:lineRule="auto"/>
        <w:ind w:firstLine="0" w:left="425"/>
        <w:jc w:val="left"/>
      </w:pPr>
      <w:r>
        <w:rPr>
          <w:rFonts w:ascii="Times New Roman" w:hAnsi="Times New Roman"/>
          <w:sz w:val="28"/>
        </w:rPr>
        <w:t>Выводы по разделу 2</w:t>
        <w:tab/>
      </w:r>
      <w:r>
        <w:rPr>
          <w:rFonts w:ascii="Times New Roman" w:hAnsi="Times New Roman"/>
          <w:sz w:val="28"/>
        </w:rPr>
        <w:t>24</w:t>
      </w:r>
    </w:p>
    <w:p>
      <w:pPr>
        <w:tabs>
          <w:tab w:pos="9354" w:val="right" w:leader="dot"/>
        </w:tabs>
        <w:spacing w:before="0" w:after="0" w:line="360" w:lineRule="auto"/>
        <w:ind w:firstLine="0" w:left="0"/>
        <w:jc w:val="left"/>
      </w:pPr>
      <w:r>
        <w:rPr>
          <w:rFonts w:ascii="Times New Roman" w:hAnsi="Times New Roman"/>
          <w:sz w:val="28"/>
        </w:rPr>
        <w:t>Раздел 3. Программная реализация и экспериментальная инфраструктура</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3.1 Архитектура программной системы</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3.2 Поддержка моделей: InternVL2.5-8B и 38B-AWQ</w:t>
        <w:tab/>
      </w:r>
      <w:r>
        <w:rPr>
          <w:rFonts w:ascii="Times New Roman" w:hAnsi="Times New Roman"/>
          <w:sz w:val="28"/>
        </w:rPr>
        <w:t>27</w:t>
      </w:r>
    </w:p>
    <w:p>
      <w:pPr>
        <w:tabs>
          <w:tab w:pos="9354" w:val="right" w:leader="dot"/>
        </w:tabs>
        <w:spacing w:before="0" w:after="0" w:line="360" w:lineRule="auto"/>
        <w:ind w:firstLine="0" w:left="425"/>
        <w:jc w:val="left"/>
      </w:pPr>
      <w:r>
        <w:rPr>
          <w:rFonts w:ascii="Times New Roman" w:hAnsi="Times New Roman"/>
          <w:sz w:val="28"/>
        </w:rPr>
        <w:t>3.3 Система конфигурации</w:t>
        <w:tab/>
      </w:r>
      <w:r>
        <w:rPr>
          <w:rFonts w:ascii="Times New Roman" w:hAnsi="Times New Roman"/>
          <w:sz w:val="28"/>
        </w:rPr>
        <w:t>28</w:t>
      </w:r>
    </w:p>
    <w:p>
      <w:pPr>
        <w:tabs>
          <w:tab w:pos="9354" w:val="right" w:leader="dot"/>
        </w:tabs>
        <w:spacing w:before="0" w:after="0" w:line="360" w:lineRule="auto"/>
        <w:ind w:firstLine="0" w:left="425"/>
        <w:jc w:val="left"/>
      </w:pPr>
      <w:r>
        <w:rPr>
          <w:rFonts w:ascii="Times New Roman" w:hAnsi="Times New Roman"/>
          <w:sz w:val="28"/>
        </w:rPr>
        <w:t>3.4 Инфраструктура оценки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3.5 Ограничения реализации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Выводы по разделу 3</w:t>
        <w:tab/>
      </w:r>
      <w:r>
        <w:rPr>
          <w:rFonts w:ascii="Times New Roman" w:hAnsi="Times New Roman"/>
          <w:sz w:val="28"/>
        </w:rPr>
        <w:t>30</w:t>
      </w:r>
    </w:p>
    <w:p>
      <w:pPr>
        <w:tabs>
          <w:tab w:pos="9354" w:val="right" w:leader="dot"/>
        </w:tabs>
        <w:spacing w:before="0" w:after="0" w:line="360" w:lineRule="auto"/>
        <w:ind w:firstLine="0" w:left="0"/>
        <w:jc w:val="left"/>
      </w:pPr>
      <w:r>
        <w:rPr>
          <w:rFonts w:ascii="Times New Roman" w:hAnsi="Times New Roman"/>
          <w:sz w:val="28"/>
        </w:rPr>
        <w:t>Раздел 4. Эксперименты и анализ результатов</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4.1 Экспериментальная установка</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4.2 Базовые результаты: пять классов MVTec LOCO AD</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4.3 Прогрессия экспериментов: от baseline к r25</w:t>
        <w:tab/>
      </w:r>
      <w:r>
        <w:rPr>
          <w:rFonts w:ascii="Times New Roman" w:hAnsi="Times New Roman"/>
          <w:sz w:val="28"/>
        </w:rPr>
        <w:t>32</w:t>
      </w:r>
    </w:p>
    <w:p>
      <w:pPr>
        <w:tabs>
          <w:tab w:pos="9354" w:val="right" w:leader="dot"/>
        </w:tabs>
        <w:spacing w:before="0" w:after="0" w:line="360" w:lineRule="auto"/>
        <w:ind w:firstLine="0" w:left="425"/>
        <w:jc w:val="left"/>
      </w:pPr>
      <w:r>
        <w:rPr>
          <w:rFonts w:ascii="Times New Roman" w:hAnsi="Times New Roman"/>
          <w:sz w:val="28"/>
        </w:rPr>
        <w:t>4.4 Ablation: вклад каждого улучшения</w:t>
        <w:tab/>
      </w:r>
      <w:r>
        <w:rPr>
          <w:rFonts w:ascii="Times New Roman" w:hAnsi="Times New Roman"/>
          <w:sz w:val="28"/>
        </w:rPr>
        <w:t>33</w:t>
      </w:r>
    </w:p>
    <w:p>
      <w:pPr>
        <w:tabs>
          <w:tab w:pos="9354" w:val="right" w:leader="dot"/>
        </w:tabs>
        <w:spacing w:before="0" w:after="0" w:line="360" w:lineRule="auto"/>
        <w:ind w:firstLine="0" w:left="425"/>
        <w:jc w:val="left"/>
      </w:pPr>
      <w:r>
        <w:rPr>
          <w:rFonts w:ascii="Times New Roman" w:hAnsi="Times New Roman"/>
          <w:sz w:val="28"/>
        </w:rPr>
        <w:t>4.5 Иерархическая оценка</w:t>
        <w:tab/>
      </w:r>
      <w:r>
        <w:rPr>
          <w:rFonts w:ascii="Times New Roman" w:hAnsi="Times New Roman"/>
          <w:sz w:val="28"/>
        </w:rPr>
        <w:t>34</w:t>
      </w:r>
    </w:p>
    <w:p>
      <w:pPr>
        <w:tabs>
          <w:tab w:pos="9354" w:val="right" w:leader="dot"/>
        </w:tabs>
        <w:spacing w:before="0" w:after="0" w:line="360" w:lineRule="auto"/>
        <w:ind w:firstLine="0" w:left="425"/>
        <w:jc w:val="left"/>
      </w:pPr>
      <w:r>
        <w:rPr>
          <w:rFonts w:ascii="Times New Roman" w:hAnsi="Times New Roman"/>
          <w:sz w:val="28"/>
        </w:rPr>
        <w:t>4.6 Анализ ошибок</w:t>
        <w:tab/>
      </w:r>
      <w:r>
        <w:rPr>
          <w:rFonts w:ascii="Times New Roman" w:hAnsi="Times New Roman"/>
          <w:sz w:val="28"/>
        </w:rPr>
        <w:t>36</w:t>
      </w:r>
    </w:p>
    <w:p>
      <w:pPr>
        <w:tabs>
          <w:tab w:pos="9354" w:val="right" w:leader="dot"/>
        </w:tabs>
        <w:spacing w:before="0" w:after="0" w:line="360" w:lineRule="auto"/>
        <w:ind w:firstLine="0" w:left="425"/>
        <w:jc w:val="left"/>
      </w:pPr>
      <w:r>
        <w:rPr>
          <w:rFonts w:ascii="Times New Roman" w:hAnsi="Times New Roman"/>
          <w:sz w:val="28"/>
        </w:rPr>
        <w:t>4.7 Сравнение с оригинальной статьёй LogicQA</w:t>
        <w:tab/>
      </w:r>
      <w:r>
        <w:rPr>
          <w:rFonts w:ascii="Times New Roman" w:hAnsi="Times New Roman"/>
          <w:sz w:val="28"/>
        </w:rPr>
        <w:t>37</w:t>
      </w:r>
    </w:p>
    <w:p>
      <w:pPr>
        <w:tabs>
          <w:tab w:pos="9354" w:val="right" w:leader="dot"/>
        </w:tabs>
        <w:spacing w:before="0" w:after="0" w:line="360" w:lineRule="auto"/>
        <w:ind w:firstLine="0" w:left="425"/>
        <w:jc w:val="left"/>
      </w:pPr>
      <w:r>
        <w:rPr>
          <w:rFonts w:ascii="Times New Roman" w:hAnsi="Times New Roman"/>
          <w:sz w:val="28"/>
        </w:rPr>
        <w:t>Выводы по разделу 4</w:t>
        <w:tab/>
      </w:r>
      <w:r>
        <w:rPr>
          <w:rFonts w:ascii="Times New Roman" w:hAnsi="Times New Roman"/>
          <w:sz w:val="28"/>
        </w:rPr>
        <w:t>38</w:t>
      </w:r>
    </w:p>
    <w:p>
      <w:pPr>
        <w:tabs>
          <w:tab w:pos="9354" w:val="right" w:leader="dot"/>
        </w:tabs>
        <w:spacing w:before="0" w:after="0" w:line="360" w:lineRule="auto"/>
        <w:ind w:firstLine="0" w:left="0"/>
        <w:jc w:val="left"/>
      </w:pPr>
      <w:r>
        <w:rPr>
          <w:rFonts w:ascii="Times New Roman" w:hAnsi="Times New Roman"/>
          <w:sz w:val="28"/>
        </w:rPr>
        <w:t>Заключение</w:t>
        <w:tab/>
      </w:r>
      <w:r>
        <w:rPr>
          <w:rFonts w:ascii="Times New Roman" w:hAnsi="Times New Roman"/>
          <w:sz w:val="28"/>
        </w:rPr>
        <w:t>39</w:t>
      </w:r>
    </w:p>
    <w:p>
      <w:pPr>
        <w:tabs>
          <w:tab w:pos="9354" w:val="right" w:leader="dot"/>
        </w:tabs>
        <w:spacing w:before="0" w:after="0" w:line="360" w:lineRule="auto"/>
        <w:ind w:firstLine="0" w:left="0"/>
        <w:jc w:val="left"/>
      </w:pPr>
      <w:r>
        <w:rPr>
          <w:rFonts w:ascii="Times New Roman" w:hAnsi="Times New Roman"/>
          <w:sz w:val="28"/>
        </w:rPr>
        <w:t>Список использованных источников</w:t>
        <w:tab/>
      </w:r>
      <w:r>
        <w:rPr>
          <w:rFonts w:ascii="Times New Roman" w:hAnsi="Times New Roman"/>
          <w:sz w:val="28"/>
        </w:rPr>
        <w:t>41</w:t>
      </w:r>
    </w:p>
    <w:p>
      <w:pPr>
        <w:tabs>
          <w:tab w:pos="9354" w:val="right" w:leader="dot"/>
        </w:tabs>
        <w:spacing w:before="0" w:after="0" w:line="360" w:lineRule="auto"/>
        <w:ind w:firstLine="0" w:left="0"/>
        <w:jc w:val="left"/>
      </w:pPr>
      <w:r>
        <w:rPr>
          <w:rFonts w:ascii="Times New Roman" w:hAnsi="Times New Roman"/>
          <w:sz w:val="28"/>
        </w:rPr>
        <w:t>Приложение А</w:t>
        <w:tab/>
      </w:r>
      <w:r>
        <w:rPr>
          <w:rFonts w:ascii="Times New Roman" w:hAnsi="Times New Roman"/>
          <w:sz w:val="28"/>
        </w:rPr>
        <w:t>44</w:t>
      </w:r>
    </w:p>
    <w:p>
      <w:pPr>
        <w:tabs>
          <w:tab w:pos="9354" w:val="right" w:leader="dot"/>
        </w:tabs>
        <w:spacing w:before="0" w:after="0" w:line="360" w:lineRule="auto"/>
        <w:ind w:firstLine="0" w:left="0"/>
        <w:jc w:val="left"/>
      </w:pPr>
      <w:r>
        <w:rPr>
          <w:rFonts w:ascii="Times New Roman" w:hAnsi="Times New Roman"/>
          <w:sz w:val="28"/>
        </w:rPr>
        <w:t>Приложение Б</w:t>
        <w:tab/>
      </w:r>
      <w:r>
        <w:rPr>
          <w:rFonts w:ascii="Times New Roman" w:hAnsi="Times New Roman"/>
          <w:sz w:val="28"/>
        </w:rPr>
        <w:t>46</w:t>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tabs>
          <w:tab w:pos="2551" w:val="left"/>
        </w:tabs>
        <w:spacing w:before="0" w:after="0" w:line="360" w:lineRule="auto"/>
        <w:ind w:left="2551" w:hanging="2551"/>
        <w:jc w:val="both"/>
      </w:pPr>
      <w:r>
        <w:rPr>
          <w:rFonts w:ascii="Times New Roman" w:hAnsi="Times New Roman"/>
          <w:sz w:val="28"/>
        </w:rPr>
        <w:t>AUROC</w:t>
        <w:tab/>
      </w:r>
      <w:r>
        <w:rPr>
          <w:rFonts w:ascii="Times New Roman" w:hAnsi="Times New Roman"/>
          <w:sz w:val="28"/>
        </w:rPr>
        <w:t>площадь под ROC-кривой (Area Under the ROC Curve);</w:t>
      </w:r>
    </w:p>
    <w:p>
      <w:pPr>
        <w:tabs>
          <w:tab w:pos="2551" w:val="left"/>
        </w:tabs>
        <w:spacing w:before="0" w:after="0" w:line="360" w:lineRule="auto"/>
        <w:ind w:left="2551" w:hanging="2551"/>
        <w:jc w:val="both"/>
      </w:pPr>
      <w:r>
        <w:rPr>
          <w:rFonts w:ascii="Times New Roman" w:hAnsi="Times New Roman"/>
          <w:sz w:val="28"/>
        </w:rPr>
        <w:t>AWQ</w:t>
        <w:tab/>
      </w:r>
      <w:r>
        <w:rPr>
          <w:rFonts w:ascii="Times New Roman" w:hAnsi="Times New Roman"/>
          <w:sz w:val="28"/>
        </w:rPr>
        <w:t>квантизация весов с учётом активаций (Activation-aware Weight Quantization);</w:t>
      </w:r>
    </w:p>
    <w:p>
      <w:pPr>
        <w:tabs>
          <w:tab w:pos="2551" w:val="left"/>
        </w:tabs>
        <w:spacing w:before="0" w:after="0" w:line="360" w:lineRule="auto"/>
        <w:ind w:left="2551" w:hanging="2551"/>
        <w:jc w:val="both"/>
      </w:pPr>
      <w:r>
        <w:rPr>
          <w:rFonts w:ascii="Times New Roman" w:hAnsi="Times New Roman"/>
          <w:sz w:val="28"/>
        </w:rPr>
        <w:t>CCR</w:t>
        <w:tab/>
      </w:r>
      <w:r>
        <w:rPr>
          <w:rFonts w:ascii="Times New Roman" w:hAnsi="Times New Roman"/>
          <w:sz w:val="28"/>
        </w:rPr>
        <w:t>доля покрытых ограничений нормальности (Constraint Coverage Rate);</w:t>
      </w:r>
    </w:p>
    <w:p>
      <w:pPr>
        <w:tabs>
          <w:tab w:pos="2551" w:val="left"/>
        </w:tabs>
        <w:spacing w:before="0" w:after="0" w:line="360" w:lineRule="auto"/>
        <w:ind w:left="2551" w:hanging="2551"/>
        <w:jc w:val="both"/>
      </w:pPr>
      <w:r>
        <w:rPr>
          <w:rFonts w:ascii="Times New Roman" w:hAnsi="Times New Roman"/>
          <w:sz w:val="28"/>
        </w:rPr>
        <w:t>CLIP</w:t>
        <w:tab/>
      </w:r>
      <w:r>
        <w:rPr>
          <w:rFonts w:ascii="Times New Roman" w:hAnsi="Times New Roman"/>
          <w:sz w:val="28"/>
        </w:rPr>
        <w:t>модель сопоставления текста и изображений (Contrastive Language–Image Pre-training);</w:t>
      </w:r>
    </w:p>
    <w:p>
      <w:pPr>
        <w:tabs>
          <w:tab w:pos="2551" w:val="left"/>
        </w:tabs>
        <w:spacing w:before="0" w:after="0" w:line="360" w:lineRule="auto"/>
        <w:ind w:left="2551" w:hanging="2551"/>
        <w:jc w:val="both"/>
      </w:pPr>
      <w:r>
        <w:rPr>
          <w:rFonts w:ascii="Times New Roman" w:hAnsi="Times New Roman"/>
          <w:sz w:val="28"/>
        </w:rPr>
        <w:t>CLIPScore</w:t>
        <w:tab/>
      </w:r>
      <w:r>
        <w:rPr>
          <w:rFonts w:ascii="Times New Roman" w:hAnsi="Times New Roman"/>
          <w:sz w:val="28"/>
        </w:rPr>
        <w:t>метрика семантического сходства текста и изображения на основе CLIP;</w:t>
      </w:r>
    </w:p>
    <w:p>
      <w:pPr>
        <w:tabs>
          <w:tab w:pos="2551" w:val="left"/>
        </w:tabs>
        <w:spacing w:before="0" w:after="0" w:line="360" w:lineRule="auto"/>
        <w:ind w:left="2551" w:hanging="2551"/>
        <w:jc w:val="both"/>
      </w:pPr>
      <w:r>
        <w:rPr>
          <w:rFonts w:ascii="Times New Roman" w:hAnsi="Times New Roman"/>
          <w:sz w:val="28"/>
        </w:rPr>
        <w:t>CoT</w:t>
        <w:tab/>
      </w:r>
      <w:r>
        <w:rPr>
          <w:rFonts w:ascii="Times New Roman" w:hAnsi="Times New Roman"/>
          <w:sz w:val="28"/>
        </w:rPr>
        <w:t>метод пошагового рассуждения в промптинге (Chain-of-Thought);</w:t>
      </w:r>
    </w:p>
    <w:p>
      <w:pPr>
        <w:tabs>
          <w:tab w:pos="2551" w:val="left"/>
        </w:tabs>
        <w:spacing w:before="0" w:after="0" w:line="360" w:lineRule="auto"/>
        <w:ind w:left="2551" w:hanging="2551"/>
        <w:jc w:val="both"/>
      </w:pPr>
      <w:r>
        <w:rPr>
          <w:rFonts w:ascii="Times New Roman" w:hAnsi="Times New Roman"/>
          <w:sz w:val="28"/>
        </w:rPr>
        <w:t>F1-max</w:t>
        <w:tab/>
      </w:r>
      <w:r>
        <w:rPr>
          <w:rFonts w:ascii="Times New Roman" w:hAnsi="Times New Roman"/>
          <w:sz w:val="28"/>
        </w:rPr>
        <w:t>максимальное значение F1-меры по порогу;</w:t>
      </w:r>
    </w:p>
    <w:p>
      <w:pPr>
        <w:tabs>
          <w:tab w:pos="2551" w:val="left"/>
        </w:tabs>
        <w:spacing w:before="0" w:after="0" w:line="360" w:lineRule="auto"/>
        <w:ind w:left="2551" w:hanging="2551"/>
        <w:jc w:val="both"/>
      </w:pPr>
      <w:r>
        <w:rPr>
          <w:rFonts w:ascii="Times New Roman" w:hAnsi="Times New Roman"/>
          <w:sz w:val="28"/>
        </w:rPr>
        <w:t>InternVL</w:t>
        <w:tab/>
      </w:r>
      <w:r>
        <w:rPr>
          <w:rFonts w:ascii="Times New Roman" w:hAnsi="Times New Roman"/>
          <w:sz w:val="28"/>
        </w:rPr>
        <w:t>визуально-языковая модель семейства InternVL2.5 (8B и 38B параметров);</w:t>
      </w:r>
    </w:p>
    <w:p>
      <w:pPr>
        <w:tabs>
          <w:tab w:pos="2551" w:val="left"/>
        </w:tabs>
        <w:spacing w:before="0" w:after="0" w:line="360" w:lineRule="auto"/>
        <w:ind w:left="2551" w:hanging="2551"/>
        <w:jc w:val="both"/>
      </w:pPr>
      <w:r>
        <w:rPr>
          <w:rFonts w:ascii="Times New Roman" w:hAnsi="Times New Roman"/>
          <w:sz w:val="28"/>
        </w:rPr>
        <w:t>LLM</w:t>
        <w:tab/>
      </w:r>
      <w:r>
        <w:rPr>
          <w:rFonts w:ascii="Times New Roman" w:hAnsi="Times New Roman"/>
          <w:sz w:val="28"/>
        </w:rPr>
        <w:t>большая языковая модель (Large Language Model);</w:t>
      </w:r>
    </w:p>
    <w:p>
      <w:pPr>
        <w:tabs>
          <w:tab w:pos="2551" w:val="left"/>
        </w:tabs>
        <w:spacing w:before="0" w:after="0" w:line="360" w:lineRule="auto"/>
        <w:ind w:left="2551" w:hanging="2551"/>
        <w:jc w:val="both"/>
      </w:pPr>
      <w:r>
        <w:rPr>
          <w:rFonts w:ascii="Times New Roman" w:hAnsi="Times New Roman"/>
          <w:sz w:val="28"/>
        </w:rPr>
        <w:t>MACE</w:t>
        <w:tab/>
      </w:r>
      <w:r>
        <w:rPr>
          <w:rFonts w:ascii="Times New Roman" w:hAnsi="Times New Roman"/>
          <w:sz w:val="28"/>
        </w:rPr>
        <w:t>средняя абсолютная ошибка счёта (Mean Absolute Count Error);</w:t>
      </w:r>
    </w:p>
    <w:p>
      <w:pPr>
        <w:tabs>
          <w:tab w:pos="2551" w:val="left"/>
        </w:tabs>
        <w:spacing w:before="0" w:after="0" w:line="360" w:lineRule="auto"/>
        <w:ind w:left="2551" w:hanging="2551"/>
        <w:jc w:val="both"/>
      </w:pPr>
      <w:r>
        <w:rPr>
          <w:rFonts w:ascii="Times New Roman" w:hAnsi="Times New Roman"/>
          <w:sz w:val="28"/>
        </w:rPr>
        <w:t>MVTec LOCO AD</w:t>
        <w:tab/>
      </w:r>
      <w:r>
        <w:rPr>
          <w:rFonts w:ascii="Times New Roman" w:hAnsi="Times New Roman"/>
          <w:sz w:val="28"/>
        </w:rPr>
        <w:t>датасет обнаружения аномалий с логическими ограничениями (MVTec Logical Constraints Anomaly Detection);</w:t>
      </w:r>
    </w:p>
    <w:p>
      <w:pPr>
        <w:tabs>
          <w:tab w:pos="2551" w:val="left"/>
        </w:tabs>
        <w:spacing w:before="0" w:after="0" w:line="360" w:lineRule="auto"/>
        <w:ind w:left="2551" w:hanging="2551"/>
        <w:jc w:val="both"/>
      </w:pPr>
      <w:r>
        <w:rPr>
          <w:rFonts w:ascii="Times New Roman" w:hAnsi="Times New Roman"/>
          <w:sz w:val="28"/>
        </w:rPr>
        <w:t>RC4-A</w:t>
        <w:tab/>
      </w:r>
      <w:r>
        <w:rPr>
          <w:rFonts w:ascii="Times New Roman" w:hAnsi="Times New Roman"/>
          <w:sz w:val="28"/>
        </w:rPr>
        <w:t>версия стадии 4 с inline-рассуждением Chain-of-Thought;</w:t>
      </w:r>
    </w:p>
    <w:p>
      <w:pPr>
        <w:tabs>
          <w:tab w:pos="2551" w:val="left"/>
        </w:tabs>
        <w:spacing w:before="0" w:after="0" w:line="360" w:lineRule="auto"/>
        <w:ind w:left="2551" w:hanging="2551"/>
        <w:jc w:val="both"/>
      </w:pPr>
      <w:r>
        <w:rPr>
          <w:rFonts w:ascii="Times New Roman" w:hAnsi="Times New Roman"/>
          <w:sz w:val="28"/>
        </w:rPr>
        <w:t>SRA</w:t>
        <w:tab/>
      </w:r>
      <w:r>
        <w:rPr>
          <w:rFonts w:ascii="Times New Roman" w:hAnsi="Times New Roman"/>
          <w:sz w:val="28"/>
        </w:rPr>
        <w:t>точность пространственных отношений (Spatial Relation Accuracy);</w:t>
      </w:r>
    </w:p>
    <w:p>
      <w:pPr>
        <w:tabs>
          <w:tab w:pos="2551" w:val="left"/>
        </w:tabs>
        <w:spacing w:before="0" w:after="0" w:line="360" w:lineRule="auto"/>
        <w:ind w:left="2551" w:hanging="2551"/>
        <w:jc w:val="both"/>
      </w:pPr>
      <w:r>
        <w:rPr>
          <w:rFonts w:ascii="Times New Roman" w:hAnsi="Times New Roman"/>
          <w:sz w:val="28"/>
        </w:rPr>
        <w:t>Sub-Q</w:t>
        <w:tab/>
      </w:r>
      <w:r>
        <w:rPr>
          <w:rFonts w:ascii="Times New Roman" w:hAnsi="Times New Roman"/>
          <w:sz w:val="28"/>
        </w:rPr>
        <w:t>вопрос-вариант, перефразировка основного вопроса (sub-question);</w:t>
      </w:r>
    </w:p>
    <w:p>
      <w:pPr>
        <w:tabs>
          <w:tab w:pos="2551" w:val="left"/>
        </w:tabs>
        <w:spacing w:before="0" w:after="0" w:line="360" w:lineRule="auto"/>
        <w:ind w:left="2551" w:hanging="2551"/>
        <w:jc w:val="both"/>
      </w:pPr>
      <w:r>
        <w:rPr>
          <w:rFonts w:ascii="Times New Roman" w:hAnsi="Times New Roman"/>
          <w:sz w:val="28"/>
        </w:rPr>
        <w:t>TP / FP / FN / TN</w:t>
        <w:tab/>
      </w:r>
      <w:r>
        <w:rPr>
          <w:rFonts w:ascii="Times New Roman" w:hAnsi="Times New Roman"/>
          <w:sz w:val="28"/>
        </w:rPr>
        <w:t>истинно- и ложноположительные, ложно- и истинноотрицательные срабатывания (True/False Positive/Negative);</w:t>
      </w:r>
    </w:p>
    <w:p>
      <w:pPr>
        <w:tabs>
          <w:tab w:pos="2551" w:val="left"/>
        </w:tabs>
        <w:spacing w:before="0" w:after="0" w:line="360" w:lineRule="auto"/>
        <w:ind w:left="2551" w:hanging="2551"/>
        <w:jc w:val="both"/>
      </w:pPr>
      <w:r>
        <w:rPr>
          <w:rFonts w:ascii="Times New Roman" w:hAnsi="Times New Roman"/>
          <w:sz w:val="28"/>
        </w:rPr>
        <w:t>VLM</w:t>
        <w:tab/>
      </w:r>
      <w:r>
        <w:rPr>
          <w:rFonts w:ascii="Times New Roman" w:hAnsi="Times New Roman"/>
          <w:sz w:val="28"/>
        </w:rPr>
        <w:t>визуально-языковая модель (Visual-Language Model);</w:t>
      </w:r>
    </w:p>
    <w:p>
      <w:pPr>
        <w:tabs>
          <w:tab w:pos="2551" w:val="left"/>
        </w:tabs>
        <w:spacing w:before="0" w:after="0" w:line="360" w:lineRule="auto"/>
        <w:ind w:left="2551" w:hanging="2551"/>
        <w:jc w:val="both"/>
      </w:pPr>
      <w:r>
        <w:rPr>
          <w:rFonts w:ascii="Times New Roman" w:hAnsi="Times New Roman"/>
          <w:sz w:val="28"/>
        </w:rPr>
        <w:t>ГОСТ</w:t>
        <w:tab/>
      </w:r>
      <w:r>
        <w:rPr>
          <w:rFonts w:ascii="Times New Roman" w:hAnsi="Times New Roman"/>
          <w:sz w:val="28"/>
        </w:rPr>
        <w:t>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Метод LogicQA [L1] (2025) предложил принципиально иной подход: использование VLM как рассуждающего агента, формирующего контрольный список нормальности и проверяющего каждое изображение по этому списку. Ограничением оригинальной работы является применение закрытой модели GPT-4o, что исключает промышленное внедрение с точки зрения воспроизводимости и стоимости.</w:t>
      </w:r>
    </w:p>
    <w:p>
      <w:pPr>
        <w:spacing w:before="0" w:after="0" w:line="360" w:lineRule="auto"/>
        <w:ind w:firstLine="709"/>
        <w:jc w:val="both"/>
      </w:pPr>
      <w:r>
        <w:rPr>
          <w:rFonts w:ascii="Times New Roman" w:hAnsi="Times New Roman"/>
          <w:sz w:val="28"/>
        </w:rPr>
        <w:t>Центральный вклад настоящей работы состоит в воспроизведении метода LogicQA с использованием открытой модели InternVL2.5-8B, разработке семи системных улучшений пайплайна и иерархической системы оценки (L1–L4). Базовый AUROC InternVL2.5-8B по пяти классам MVTec LOCO AD составляет 0.527, лучший достигнутый результат на классе breakfast_box — AUROC=0.852, сопоставимый с результатами GPT-4o.</w:t>
      </w:r>
    </w:p>
    <w:p>
      <w:pPr>
        <w:spacing w:before="0" w:after="0" w:line="360" w:lineRule="auto"/>
        <w:ind w:firstLine="709"/>
        <w:jc w:val="both"/>
      </w:pPr>
      <w:r>
        <w:rPr>
          <w:rFonts w:ascii="Times New Roman" w:hAnsi="Times New Roman"/>
          <w:sz w:val="28"/>
        </w:rPr>
        <w:t>Цель работы: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Knowledge distillation методы обучают студенческую сеть имитировать учительскую на нормальных изображениях [14, 15]. Расхождение активаций сигнализирует об аномалии. EfficientAD [6] достигает высокой скорости при сохранении точности. Ограничение то же — локальный характер обнаружения.</w:t>
      </w:r>
    </w:p>
    <w:p>
      <w:pPr>
        <w:spacing w:before="0" w:after="0" w:line="360" w:lineRule="auto"/>
        <w:ind w:firstLine="709"/>
        <w:jc w:val="both"/>
      </w:pPr>
      <w:r>
        <w:rPr>
          <w:rFonts w:ascii="Times New Roman" w:hAnsi="Times New Roman"/>
          <w:sz w:val="28"/>
        </w:rPr>
        <w:t>VLM-based методы используют предобученные визуально-языковые модели. WinCLIP [5] применяет CLIP для оценки схожести патчей изображения с текстовыми описаниями нормальности/аномальности. AnoVL расширяет этот подход. Метод LogicQA [L1] (2025) принципиально отличается: вместо вычисления признаков VLM выступает рассуждающим агентом, который формирует контрольный список семантических ограничений нормальности и проверяет каждое ограничение для тестового изображения.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Сравнение в таблице 1.2 показывает, что классические методы обеспечивают высокую точность лишь на структурных аномалиях и обладают низкой интерпретируемостью. Только VLM-based подходы сочетают применимость к логическим аномалиям с высокой интерпретируемостью без разметки аномальных данных, что и обусловливает выбор данного направления в настоящей работе.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CLIP (Contrastive Language–Image Pre-training) [7] — модель, обученная на 400 миллионах пар (изображение, текстовое описание) с контрастивной функцией потерь. В пространстве совместных эмбеддингов семантически схожие пары изображение–текст сближаются, несхожие — отдаляются. Это позволяет измерять семантическое сходство произвольного изображения с произвольным текстом — без дообучения. В данной работе CLIP ViT-B/32 используется для вычисления CLIPScore как метрики качества текстового описания нормального изображения.</w:t>
      </w:r>
    </w:p>
    <w:p>
      <w:pPr>
        <w:spacing w:before="0" w:after="0" w:line="360" w:lineRule="auto"/>
        <w:ind w:firstLine="709"/>
        <w:jc w:val="both"/>
      </w:pPr>
      <w:r>
        <w:rPr>
          <w:rFonts w:ascii="Times New Roman" w:hAnsi="Times New Roman"/>
          <w:sz w:val="28"/>
        </w:rPr>
        <w:t>InternVL2.5 [8] — семейство открытых визуально-языковых моделей. Архитектура состоит из визуального энкодера InternViT-6B, модуля pixel shuffling для обработки изображений высокого разрешения и языковой модели Qwen2.5 (языковой модуль от Alibaba). Модель обучалась на мультимодальных данных: парах изображение–текст, данных для пространственного grounding (координаты ограничивающих прямоугольников), вопросно-ответных парах по изображениям и задачах пространственного рассуждения. Pixel shuffling позволяет динамически изменять разрешение входного изображения: для задач обнаружения аномалий используется 448×448 пикселей с разбивкой на плитки, что обеспечивает обработку деталей объекта. Grounding-данные критически важны для задачи: модель обучена не просто описывать сцену, но и локализовать упоминаемые объекты в координатах изображения, что обеспечивает точность описания пространственных отношений компонентов.</w:t>
      </w:r>
    </w:p>
    <w:p>
      <w:pPr>
        <w:spacing w:before="0" w:after="0" w:line="360" w:lineRule="auto"/>
        <w:ind w:firstLine="709"/>
        <w:jc w:val="both"/>
      </w:pPr>
      <w:r>
        <w:rPr>
          <w:rFonts w:ascii="Times New Roman" w:hAnsi="Times New Roman"/>
          <w:sz w:val="28"/>
        </w:rPr>
        <w:t>Few-shot prompting: при тестировании модели передаются n_shots нормальных изображений в качестве контекста (примеров нормальности). Это позволяет модели сформировать представление о нормальном состоянии объекта без какого-либо дообучения — training-free подход.</w:t>
      </w:r>
    </w:p>
    <w:p>
      <w:pPr>
        <w:spacing w:before="0" w:after="0" w:line="360" w:lineRule="auto"/>
        <w:ind w:firstLine="709"/>
        <w:jc w:val="both"/>
      </w:pPr>
      <w:r>
        <w:rPr>
          <w:rFonts w:ascii="Times New Roman" w:hAnsi="Times New Roman"/>
          <w:sz w:val="28"/>
        </w:rPr>
        <w:t>Chain-of-Thought (CoT) — техника промптинга, при которой модели предписывается явно формулировать промежуточные рассуждения перед финальным ответом. Принцип: Step 1 — Observe (что именно видно на изображении относительно проверяемого ограничения), Step 2 — Conclude (вывод: Result: Yes/No). Ключевое свойство CoT в контексте обнаружения аномалий: модель не может ответить «Yes (нормально)», не сформулировав наблюдение, подтверждающее это. Это устраняет «угадывание» — тенденцию к ответу «Yes» без реального анализа изображения, которая является основной причиной ложноположительных срабатываний. В эксперименте RC4-A переход от прямого вопроса к CoT-промпту снизил FP с 12 до 0 при сохранении recall.</w:t>
      </w:r>
    </w:p>
    <w:p>
      <w:pPr>
        <w:spacing w:before="0" w:after="0" w:line="360" w:lineRule="auto"/>
        <w:ind w:firstLine="709"/>
        <w:jc w:val="both"/>
      </w:pPr>
      <w:r>
        <w:rPr>
          <w:rFonts w:ascii="Times New Roman" w:hAnsi="Times New Roman"/>
          <w:sz w:val="28"/>
        </w:rPr>
        <w:t>Важно подчеркнуть, что CoT является эмерджентным (emergent) свойством масштаба модели [36]. В работе «Chain-of-Thought Prompting» [36] (NeurIPS 2022) показано, что CoT-промптинг не улучшает производительность малых моделей (до ~100B параметров) — модели меньшего размера генерируют внешне правдоподобные, но логически некорректные цепочки рассуждений, что ведёт к снижению точности по сравнению с прямым промптингом. Значимые улучшения наблюдаются только для достаточно больших моделей. Это наблюдение имеет прямое следствие для нашей работы: для InternVL2.5-8B CoT даёт измеримый, но неполный эффект (FP 12→0 при росте FN 3→10), тогда как от InternVL2.5-38B ожидается более устойчивое рассуждение за счёт большего числа параметров языкового модуля.</w:t>
      </w:r>
    </w:p>
    <w:p>
      <w:pPr>
        <w:spacing w:before="0" w:after="0" w:line="360" w:lineRule="auto"/>
        <w:ind w:firstLine="709"/>
        <w:jc w:val="both"/>
      </w:pPr>
      <w:r>
        <w:rPr>
          <w:rFonts w:ascii="Times New Roman" w:hAnsi="Times New Roman"/>
          <w:sz w:val="28"/>
        </w:rPr>
        <w:t>Склонность VLM к «галлюцинациям» и предвзятому ответу «Yes» систематически исследована в работе POPE [34]: авторы выявили, что крупные визуально-языковые модели генерируют объекты, отсутствующие на изображении, причём тенденция усиливается для объектов, часто встречающихся в обучающих данных. Эксперименты показали, что стандартный открытый запрос приводит к более выраженным галлюцинациям, чем бинарный Yes/No вопрос. Это непосредственно мотивирует наш выбор бинарного формата вопросов (Stage 3) и объясняет механизм возникновения FP=12 в r23 (без CoT): не имея обязательного шага наблюдения, модель отвечала «Yes» на основе статистических ожиданий, а не реального анализа изображения.</w:t>
      </w:r>
    </w:p>
    <w:p>
      <w:pPr>
        <w:spacing w:before="0" w:after="0" w:line="360" w:lineRule="auto"/>
        <w:ind w:firstLine="709"/>
        <w:jc w:val="both"/>
      </w:pPr>
      <w:r>
        <w:rPr>
          <w:rFonts w:ascii="Times New Roman" w:hAnsi="Times New Roman"/>
          <w:sz w:val="28"/>
        </w:rPr>
        <w:t>Ещё одним системным ограничением VLM является слабость пространственного рассуждения. В работе «What's Up with Vision-Language Models?» [33] целенаправленно изучена эта проблема на трёх специальных корпусах: модели VQAv2, дообученные BLIP достигали паритета с людьми (≈99%) на общем бенчмарке, однако на задачах пространственных отношений («на/под», «слева/справа») их точность падала до 56% при 99% у людей. Было установлено, что основная причина — крайне малое количество надёжных примеров пространственных отношений в крупных предобучающих корпусах (LAION-2B). Это объясняет, почему SRA (Spatial Relation Accuracy) включена как отдельный уровень L2 нашей иерархической оценки, и предсказывает, что пространственные аномалии окажутся труднейшим классом для модели 8B-масштаба.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Дано тестовое изображение x_test ∈ X. Требуется построить бинарный предиктор f: X → {0, 1}, где 0 — нормальный объект, 1 — аномальный.</w:t>
      </w:r>
    </w:p>
    <w:p>
      <w:pPr>
        <w:spacing w:before="0" w:after="0" w:line="360" w:lineRule="auto"/>
        <w:ind w:firstLine="709"/>
        <w:jc w:val="both"/>
      </w:pPr>
      <w:r>
        <w:rPr>
          <w:rFonts w:ascii="Times New Roman" w:hAnsi="Times New Roman"/>
          <w:sz w:val="28"/>
        </w:rPr>
        <w:t>Нормальность объекта задаётся набором семантических ограничений C = {c_1, ..., c_k}, извлекаемых из D_train. Ограничения могут быть количественными (ровно два мандарина), пространственными (болты расположены слева), атрибутивными (мюсли полностью заполняют отсек). Аномалия определяется как нарушение хотя бы одного ограничения: f(x_test) = 1, если ∃ c_i ∈ C: c_i(x_test) = False.</w:t>
      </w:r>
    </w:p>
    <w:p>
      <w:pPr>
        <w:spacing w:before="0" w:after="0" w:line="360" w:lineRule="auto"/>
        <w:ind w:firstLine="709"/>
        <w:jc w:val="both"/>
      </w:pPr>
      <w:r>
        <w:rPr>
          <w:rFonts w:ascii="Times New Roman" w:hAnsi="Times New Roman"/>
          <w:sz w:val="28"/>
        </w:rPr>
        <w:t>Качество предиктора оценивается следующими метриками. AUROC (Area Under ROC Curve) — площадь под кривой зависимости True Positive Rate от False Positive Rate при изменении порога аномальности от 0 до 1; не зависит от выбора порога классификации. F1-max — максимальное значение F1-меры: F1 = 2·TP / (2·TP + FP + FN), оптимизированное по порогу. Иерархические метрики L1–L4 (детально описаны в разделе 2) оценивают промежуточные компоненты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1 генерирует текстовые описания нормального состояния объекта по каждому нормальному обучающему изображению. Ключевым нововведением по сравнению с оригинальным LogicQA является per-component декомпозиция: вместо единственного монолитного описания всего изображения VLM последовательно описывает каждый из предопределённых компонентов объекта (NORMALITY_COMPONENTS).</w:t>
      </w:r>
    </w:p>
    <w:p>
      <w:pPr>
        <w:spacing w:before="0" w:after="0" w:line="360" w:lineRule="auto"/>
        <w:ind w:firstLine="709"/>
        <w:jc w:val="both"/>
      </w:pPr>
      <w:r>
        <w:rPr>
          <w:rFonts w:ascii="Times New Roman" w:hAnsi="Times New Roman"/>
          <w:sz w:val="28"/>
        </w:rPr>
        <w:t>Для класса breakfast_box определены шесть компонентов: два вида счётных объектов (tangerines — ровно 2 штуки; nectarine — ровно 1 штука) и четыре вида несчётных наполнителей (muesli, banana chips, almonds, yogurt coating). Для каждого из 5 обучающих изображений выполняется 6 отдельных VLM-запросов (prompt: «Опиши, что ты видишь в отсеке [component_name], включая количество, расположение и внешний вид»). Итого 5 × 6 = 30 VLM-вызовов на стадию 1, против 5 монолитных вызовов в baseline.</w:t>
      </w:r>
    </w:p>
    <w:p>
      <w:pPr>
        <w:spacing w:before="0" w:after="0" w:line="360" w:lineRule="auto"/>
        <w:ind w:firstLine="709"/>
        <w:jc w:val="both"/>
      </w:pPr>
      <w:r>
        <w:rPr>
          <w:rFonts w:ascii="Times New Roman" w:hAnsi="Times New Roman"/>
          <w:sz w:val="28"/>
        </w:rPr>
        <w:t>Мотивация декомпозиции: при монолитном описании VLM склонна «галлюцинировать» несуществующие объекты или упускать компоненты при многосоставных сценах. Per-component промптинг фокусирует внимание модели на конкретном элементе, устраняя интерференцию между компонентами. Практический эффект: CCR (Constraint Coverage Rate) выросла с 63.3% (baseline) до 100% (per-component).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2 агрегирует описания всех нормальных изображений в единое нормативное определение нормальности объекта. Процесс включает два ключевых шага.</w:t>
      </w:r>
    </w:p>
    <w:p>
      <w:pPr>
        <w:spacing w:before="0" w:after="0" w:line="360" w:lineRule="auto"/>
        <w:ind w:firstLine="709"/>
        <w:jc w:val="both"/>
      </w:pPr>
      <w:r>
        <w:rPr>
          <w:rFonts w:ascii="Times New Roman" w:hAnsi="Times New Roman"/>
          <w:sz w:val="28"/>
        </w:rPr>
        <w:t>Hedge-filtering: из описаний исключаются утверждения, содержащие маркеры неопределённости: «sometimes», «occasionally», «may», «might», «appears to», «seems to». Такие утверждения не отражают инвариантных свойств нормального объекта и при включении в контрольный список породили бы ненадёжные вопросы.</w:t>
      </w:r>
    </w:p>
    <w:p>
      <w:pPr>
        <w:spacing w:before="0" w:after="0" w:line="360" w:lineRule="auto"/>
        <w:ind w:firstLine="709"/>
        <w:jc w:val="both"/>
      </w:pPr>
      <w:r>
        <w:rPr>
          <w:rFonts w:ascii="Times New Roman" w:hAnsi="Times New Roman"/>
          <w:sz w:val="28"/>
        </w:rPr>
        <w:t>Нормативное определение структурируется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Структурированное представление обеспечивает полноту покрытия ограничений и является основой для генерации вопросов в Stage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3 преобразует нормативное определение в набор бинарных проверочных вопросов. Процесс разделён на три подстадии.</w:t>
      </w:r>
    </w:p>
    <w:p>
      <w:pPr>
        <w:spacing w:before="0" w:after="0" w:line="360" w:lineRule="auto"/>
        <w:ind w:firstLine="709"/>
        <w:jc w:val="both"/>
      </w:pPr>
      <w:r>
        <w:rPr>
          <w:rFonts w:ascii="Times New Roman" w:hAnsi="Times New Roman"/>
          <w:sz w:val="28"/>
        </w:rPr>
        <w:t>Stage 3a — структурированная генерация: VLM генерирует 8–12 бинарных вопросов-кандидатов из нормативного определения. Промпт предписывает формат «Does the image show [constraint]? Answer Yes or No.» Каждый вопрос соответствует одному конкретному ограничению нормального состояния.</w:t>
      </w:r>
    </w:p>
    <w:p>
      <w:pPr>
        <w:spacing w:before="0" w:after="0" w:line="360" w:lineRule="auto"/>
        <w:ind w:firstLine="709"/>
        <w:jc w:val="both"/>
      </w:pPr>
      <w:r>
        <w:rPr>
          <w:rFonts w:ascii="Times New Roman" w:hAnsi="Times New Roman"/>
          <w:sz w:val="28"/>
        </w:rPr>
        <w:t>Stage 3b — фильтрация: каждый вопрос-кандидат проверяется на 15 валидационных нормальных изображениях. Вопрос включается в итоговый набор, только если VLM отвечает «Yes» не менее чем на 80% валидационных изображений. Это обеспечивает инвариантность вопросов — они описывают устойчивые, а не случайные свойства. Два дополнительных механизма фильтрации: count-bypass — вопросы на точное количество («exactly N mандаринов») не подвергаются 80%-порогу, поскольку VLM систематически плохо считает на валидационных изображениях; stem-matching — при поиске токена ответа применяется лемматизация основ («almonds»→«almond», «tangerines»→«tangerine»), что устраняет ложные отклонения из-за грамматических форм.</w:t>
      </w:r>
    </w:p>
    <w:p>
      <w:pPr>
        <w:spacing w:before="0" w:after="0" w:line="360" w:lineRule="auto"/>
        <w:ind w:firstLine="709"/>
        <w:jc w:val="both"/>
      </w:pPr>
      <w:r>
        <w:rPr>
          <w:rFonts w:ascii="Times New Roman" w:hAnsi="Times New Roman"/>
          <w:sz w:val="28"/>
        </w:rPr>
        <w:t>Stage 3c — аугментация: каждый прошедший фильтрацию вопрос перефразируется в 4 лингвистических варианта (sub-questions) при сохранении семантики. Это позволяет проводить majority vote при тестировании: аномалия по вопросу детектируется, если большинство (≥3 из 4) sub-questions получают ответ «No».</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Пример в таблице 2.2 иллюстрирует работу фильтрации: вопросы на точное количество сохраняются механизмом count-bypass независимо от валидационного балла, тогда как неустойчивые вопросы с баллом ниже 80% (о визуальной однородности и пространственном расположении) отбраковываются. Таким образом в итоговый набор попадают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4 проверяет тестовое изображение по итоговому набору вопросов. Ключевое нововведение — RC4-A: inline Chain-of-Thought промпт, предписывающий модели явно формулировать наблюдения перед финальным ответом.</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Механизм итогового решения: для каждого основного вопроса вычисляется результат majority vote по 4 sub-questions. Изображение признаётся аномальным (is_anomaly=True), если не менее anomaly_min_failures=2 основных вопросов получили ответ «No». Аномальный score = (число «No»-вопросов) / (общее число вопросов) — непрерывная оценка для вычисления AUROC.</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Оценивает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[L7]: среднее абсолютное отклонение между упомянутым в описании количеством объекта и истинным количеством. Например, если описание говорит «3 мандарина», а истинное число 2, MACE=1.</w:t>
      </w:r>
    </w:p>
    <w:p>
      <w:pPr>
        <w:spacing w:before="0" w:after="0" w:line="360" w:lineRule="auto"/>
        <w:ind w:left="709" w:hanging="283"/>
        <w:jc w:val="both"/>
      </w:pPr>
      <w:r>
        <w:rPr>
          <w:rFonts w:ascii="Times New Roman" w:hAnsi="Times New Roman"/>
          <w:sz w:val="28"/>
        </w:rPr>
        <w:t>— SRA (Spatial Relation Accuracy) [L8, L9]: доля корректно описанных пространственных отношений между компонентами (left/right/above/below). Необходимость выделить пространственное рассуждение в отдельную метрику обоснована результатами работы «What's Up with Vision-Language Models?» [33]: SOTA-модели достигают лишь 56% точности на задачах пространственных отношений против 99% у людей, даже после дообучения. Отслеживание SRA позволяет отделить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L2.5 — Качество фильтрации вопросов. Оценивает, насколько итоговый набор вопросов отражает формальные ограничения нормальности. Необходимость этого уровня вытекает из наблюдения VALOR-EVAL [32]: качество описания (L1–L2) не гарантирует качества порождаемых проверочных вопросов — возможна ситуация, когда описание полное, но вопросы не покрывают ключевые ограничения.</w:t>
      </w:r>
    </w:p>
    <w:p>
      <w:pPr>
        <w:spacing w:before="0" w:after="0" w:line="360" w:lineRule="auto"/>
        <w:ind w:left="709" w:hanging="283"/>
        <w:jc w:val="both"/>
      </w:pPr>
      <w:r>
        <w:rPr>
          <w:rFonts w:ascii="Times New Roman" w:hAnsi="Times New Roman"/>
          <w:sz w:val="28"/>
        </w:rPr>
        <w:t>— Filter Precision: доля вопросов финального набора, покрывающих хотя бы одно формальное ограничение (оценивается LLM-as-Judge).</w:t>
      </w:r>
    </w:p>
    <w:p>
      <w:pPr>
        <w:spacing w:before="0" w:after="0" w:line="360" w:lineRule="auto"/>
        <w:ind w:left="709" w:hanging="283"/>
        <w:jc w:val="both"/>
      </w:pPr>
      <w:r>
        <w:rPr>
          <w:rFonts w:ascii="Times New Roman" w:hAnsi="Times New Roman"/>
          <w:sz w:val="28"/>
        </w:rPr>
        <w:t>— Filter Recall: доля формальных ограничений, покрытых финальным набором вопросов.</w:t>
      </w:r>
    </w:p>
    <w:p>
      <w:pPr>
        <w:spacing w:before="0" w:after="0" w:line="360" w:lineRule="auto"/>
        <w:ind w:firstLine="709"/>
        <w:jc w:val="both"/>
      </w:pPr>
      <w:r>
        <w:rPr>
          <w:rFonts w:ascii="Times New Roman" w:hAnsi="Times New Roman"/>
          <w:sz w:val="28"/>
        </w:rPr>
        <w:t>L3 — Уровень рассуждения (Reasoning). Оценивает стабильность ответов VLM. Мотивация: в работе «Uncertainty in Vision-Language Models» [35] показано, что точность VLM и её неопределённость (uncertainty) не согласованы — модели с наивысшей точностью могут демонстрировать наивысшую неопределённость. Это означает, что на одиночный ответ модели нельзя полностью полагаться; необходима оценка стабильности ответов при перефразировках.</w:t>
      </w:r>
    </w:p>
    <w:p>
      <w:pPr>
        <w:spacing w:before="0" w:after="0" w:line="360" w:lineRule="auto"/>
        <w:ind w:left="709" w:hanging="283"/>
        <w:jc w:val="both"/>
      </w:pPr>
      <w:r>
        <w:rPr>
          <w:rFonts w:ascii="Times New Roman" w:hAnsi="Times New Roman"/>
          <w:sz w:val="28"/>
        </w:rPr>
        <w:t>— Sub-Q Consistency Score [L10]: для каждого вопроса вычисляется доля согласованных ответов среди 4 sub-questions. Высокая согласованность означает, что модель уверена в ответе; низкая — что ответ нестабилен, обусловлен поверхностными лингвистическими паттернами, а не реальным анализом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Сведённые в таблице 2.3 уровни L1–L4 образуют сквозную диагностическую цепочку: от качества восприятия (описания) через точность атрибутов и фильтрации вопросов к устойчивости рассуждения и итоговому обнаружению. Такое разбиение позволяет локализовать источник ошибки на конкретной стадии пайплайна, а не ограничиваться итоговой метрикой.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Разработан четырёхстадийный пайплайн, реализующий per-component описание нормальных изображений, формирование нормативного определения, структурированную генерацию и фильтрацию вопросов, а также CoT-тестирование с механизмом majority vote.</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Технологический стек: Python 3.10, HuggingFace Transformers 4.47+, CLIP ViT-B/32 (openai/clip-vit-base-patch32), Qwen2.5-3B-Instruct (LLM-as-Judge), torchvision, numpy, scikit-learn (для AUROC). Управление экспериментами: YAML-конфигурационные файлы (pydantic-валидация).</w:t>
      </w:r>
    </w:p>
    <w:p>
      <w:pPr>
        <w:spacing w:before="0" w:after="0" w:line="360" w:lineRule="auto"/>
        <w:ind w:firstLine="709"/>
        <w:jc w:val="both"/>
      </w:pPr>
      <w:r>
        <w:rPr>
          <w:rFonts w:ascii="Times New Roman" w:hAnsi="Times New Roman"/>
          <w:sz w:val="28"/>
        </w:rPr>
        <w:t>С точки зрения воспроизводимости, реализация опирается на ряд принципиальных решений, отсутствующих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запускались с фиксированным seed=42 и ensemble_seeds=[42]. VLM-вызовы выполнялись с temperature=0.2, что обеспечивает низкую вариативность ответов при повторном запуске.</w:t>
      </w:r>
    </w:p>
    <w:p>
      <w:pPr>
        <w:spacing w:before="0" w:after="0" w:line="360" w:lineRule="auto"/>
        <w:ind w:left="709" w:hanging="283"/>
        <w:jc w:val="both"/>
      </w:pPr>
      <w:r>
        <w:rPr>
          <w:rFonts w:ascii="Times New Roman" w:hAnsi="Times New Roman"/>
          <w:sz w:val="28"/>
        </w:rPr>
        <w:t>— Сохранение артефактов: каждый запуск порождает файл run_artifacts.json, содержащий все промежуточные результаты — от Stage 1-описаний до Stage 4-ответов. Это позволяет воспроизвести любой шаг анализа или оценки без повторного запуска VLM.</w:t>
      </w:r>
    </w:p>
    <w:p>
      <w:pPr>
        <w:spacing w:before="0" w:after="0" w:line="360" w:lineRule="auto"/>
        <w:ind w:left="709" w:hanging="283"/>
        <w:jc w:val="both"/>
      </w:pPr>
      <w:r>
        <w:rPr>
          <w:rFonts w:ascii="Times New Roman" w:hAnsi="Times New Roman"/>
          <w:sz w:val="28"/>
        </w:rPr>
        <w:t>— YAML-конфигурация как единственный источник истины: каждый экспериментальный запуск полностью определяется конфигурационным файлом (configs/rN_class.yaml). Параметры model_name, n_shots, n_val, anomaly_min_failures и другие задаются явно, без скрытых значений по умолчанию, что исключает неявные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каждого из пяти классов MVTec LOCO AD зафиксированы в модуле logicqa/data/normality_definitions.py. Этот компонент отсутствует в оригинальной работе LogicQA; он позволяет использовать заранее подготовленные вопросы (pre-built questions) без выполнения Stage 1–3, сокращая время запуска в 3–5 раз.</w:t>
      </w:r>
    </w:p>
    <w:p>
      <w:pPr>
        <w:spacing w:before="0" w:after="0" w:line="360" w:lineRule="auto"/>
        <w:ind w:left="709" w:hanging="283"/>
        <w:jc w:val="both"/>
      </w:pPr>
      <w:r>
        <w:rPr>
          <w:rFonts w:ascii="Times New Roman" w:hAnsi="Times New Roman"/>
          <w:sz w:val="28"/>
        </w:rPr>
        <w:t>— Предварительно построенные вопросы (pre-built questions): для запусков r27–r30 вопросы сформированы вручную по нормативным определениям и зафиксированы в JSON-файлах (questions/class_name_questions.json). Пайплайн загружает их через параметр --questions_file, минуя стадии 1–3. Это устраняет стохастичность генерации вопросов как источник вариативности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InternVL2.5-8B загружается через HuggingFace AutoModel с dtype=torch.float16, device_map='auto', требует ~16 GB VRAM. Модель полностью помещается на один GPU A100.</w:t>
      </w:r>
    </w:p>
    <w:p>
      <w:pPr>
        <w:spacing w:before="0" w:after="0" w:line="360" w:lineRule="auto"/>
        <w:ind w:firstLine="709"/>
        <w:jc w:val="both"/>
      </w:pPr>
      <w:r>
        <w:rPr>
          <w:rFonts w:ascii="Times New Roman" w:hAnsi="Times New Roman"/>
          <w:sz w:val="28"/>
        </w:rPr>
        <w:t>AWQ (Activation-aware Weight Quantization) — метод 4-битной посттренировочной квантизации [9]. Принцип: при квантизации весов модели ошибка неравномерна — небольшое число весовых каналов вносит значительно больший вклад в суммарную ошибку. AWQ идентифицирует эти «важные» каналы по статистике активаций и защищает их от квантизации (оставляет в FP16) или применяет масштабирование, минимизирующее квантизационную ошибку. Это обеспечивает высокое качество квантованной модели без дообучения. Для 38B-модели AWQ сокращает потребность в памяти с ~76 GB до ~40 GB.</w:t>
      </w:r>
    </w:p>
    <w:p>
      <w:pPr>
        <w:spacing w:before="0" w:after="0" w:line="360" w:lineRule="auto"/>
        <w:ind w:firstLine="709"/>
        <w:jc w:val="both"/>
      </w:pPr>
      <w:r>
        <w:rPr>
          <w:rFonts w:ascii="Times New Roman" w:hAnsi="Times New Roman"/>
          <w:sz w:val="28"/>
        </w:rPr>
        <w:t>При интеграции InternVL2.5-38B-AWQ были выявлены и устранены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Параметры пайплайна сгруппированы в три категории. Первая — параметры модели (model_name, n_shots): задают используемую VLM и количество нормальных примеров в контексте. Вторая — параметры качества (n_val, n_questions, n_subquestions, count_bypass, stem_matching): управляют фильтрацией и аугментацией вопросов. Третья — параметры принятия решений (anomaly_min_failures, stage4_cot): задают порог аномальности и режим рассуждения.</w:t>
      </w:r>
    </w:p>
    <w:p>
      <w:pPr>
        <w:spacing w:before="0" w:after="0" w:line="360" w:lineRule="auto"/>
        <w:ind w:firstLine="709"/>
        <w:jc w:val="both"/>
      </w:pPr>
      <w:r>
        <w:rPr>
          <w:rFonts w:ascii="Times New Roman" w:hAnsi="Times New Roman"/>
          <w:sz w:val="28"/>
        </w:rPr>
        <w:t>Все параметры добавлены в систему конфигурации в целях воспроизводимости экспериментов. Каждое изменение методологии фиксируется в отдельном YAML-файле (configs/rN_class.yaml), что позволяет однозначно восстановить любой эксперимент по его конфигурационному файлу без дополнительных изменений кода. В оригинальной работе LogicQA подобная конфигурационная система отсутствует — параметры задаются непосредственно в коде, что затрудняет воспроизведение конкретного запуска.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отсутствует multi-GPU inference, что ограничивает применение 8B-модели одним устройством A100 (16 GB VRAM).</w:t>
      </w:r>
    </w:p>
    <w:p>
      <w:pPr>
        <w:spacing w:before="0" w:after="0" w:line="360" w:lineRule="auto"/>
        <w:ind w:left="709" w:hanging="283"/>
        <w:jc w:val="both"/>
      </w:pPr>
      <w:r>
        <w:rPr>
          <w:rFonts w:ascii="Times New Roman" w:hAnsi="Times New Roman"/>
          <w:sz w:val="28"/>
        </w:rPr>
        <w:t>— Качество LLM-судьи: Qwen2.5-3B-Instruct демонстрирует Filter Precision=21.05% — низкую точность сопоставления вопросов с формальными ограничениями. Причина: 3B-модель недостаточно точна в семантическом сопоставлении перефразировок. Для повышения точности требуется более крупная модель-судья.</w:t>
      </w:r>
    </w:p>
    <w:p>
      <w:pPr>
        <w:spacing w:before="0" w:after="0" w:line="360" w:lineRule="auto"/>
        <w:ind w:left="709" w:hanging="283"/>
        <w:jc w:val="both"/>
      </w:pPr>
      <w:r>
        <w:rPr>
          <w:rFonts w:ascii="Times New Roman" w:hAnsi="Times New Roman"/>
          <w:sz w:val="28"/>
        </w:rPr>
        <w:t>— Подмножество тестовых изображений: для декомпозированного пайплайна использовались 50 тестовых изображений (25 good + 25 anomaly) вместо полных 275 в baseline. Это позволяет быстро итерировать, но ограничивает статистическую значимость.</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реализована как воспроизводимый модульный пакет на Python с YAML-конфигурацией и сохранением всех промежуточных артефактов, что обеспечивает однозначное воспроизведение каждого эксперимента.</w:t>
      </w:r>
    </w:p>
    <w:p>
      <w:pPr>
        <w:spacing w:before="0" w:after="0" w:line="360" w:lineRule="auto"/>
        <w:ind w:left="709" w:hanging="283"/>
        <w:jc w:val="both"/>
      </w:pPr>
      <w:r>
        <w:rPr>
          <w:rFonts w:ascii="Times New Roman" w:hAnsi="Times New Roman"/>
          <w:sz w:val="28"/>
        </w:rPr>
        <w:t>2. Реализована поддержка AWQ-квантизации, позволяющая запускать модель InternVL2.5-38B на одном GPU A100; устранены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Разрыв объясняется принципиальными различиями моделей: GPT-4o обладает значительно более сильными возможностями пространственного рассуждения и понимания счёта, чем open-source InternVL2.5-8B. Это подтверждает задачу настоящей работы: компенсировать ограничения модели через улучшение пайплайна.</w:t>
      </w:r>
    </w:p>
    <w:p>
      <w:pPr>
        <w:spacing w:before="0" w:after="0" w:line="360" w:lineRule="auto"/>
        <w:ind w:firstLine="709"/>
        <w:jc w:val="both"/>
      </w:pPr>
      <w:r>
        <w:rPr>
          <w:rFonts w:ascii="Times New Roman" w:hAnsi="Times New Roman"/>
          <w:sz w:val="28"/>
        </w:rPr>
        <w:t>Дополнительно проверены результаты InternVL2.5-8B на полном тестовом наборе breakfast_box (275 изображений) без улучшений: AUROC=0.683, F1-max=0.772 (TP=109, FP=27, FN=64, TN=75). Расхождение с результатом 50-изображений (AUROC=0.589) связано с различием тестовых подмножеств и случайной выборкой при n=50.</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Анализ хронологии. Первая группа экспериментов (structured_bb50 — visual_grounding_retry) исследовала монолитные подходы. Visual grounding retry достиг AUROC=0.797, однако с FP=19 — недопустимо высоким числом ложных тревог. Запуски r18–r21 ввели декомпозированный Stage 1, однако регрессировали на AUROC≈0.5 из-за ошибок в реализации фильтрации и аугментации. Ключевой скачок произошёл в r23 (AUROC=0.782) после исправления Stage 3b, 3c и 4. Лучший результат r25 (AUROC=0.852, FP=0) получен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Из таблицы 4.3 видно, что наибольший прирост качества дают исправление механизма count-bypass на стадии 3b (AUROC 0.500→0.782) и внедрение inline CoT на стадии 4 (AUROC 0.782→0.852 при полном устранении ложноположительных срабатываний). Остальные улучшения играют преимущественно стабилизирующую роль, повышая устойчивость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Промежуточные результаты иерархической оценки для ранних экспериментов представлены ниже: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Таблица 4.4 отражает состояние пайплайна на промежуточном этапе разработки — до внедрения per-component Stage 1 и RC4-A. CLIPScore 84.77% для breakfast_box свидетельствует о хорошем семантическом соответствии генерируемых описаний изображениям. Однако CCR=63.33% означает, что треть формальных ограничений нормальности не отражается в описаниях — именно это является основной причиной пропущенных аномалий на данном этапе. Для screw_bag CCR=44.00% ещё ниже: при шести типах счётных деталей монолитный промпт не способен равномерно уделить внимание каждому компоненту. Sub-Q Consistency 58.33% для breakfast_box указывает на нестабильность ответов VLM: при перефразировке одного вопроса модель в почти половине случаев меняет ответ — что делает majority vote ненадёжным.</w:t>
      </w:r>
    </w:p>
    <w:p>
      <w:pPr>
        <w:spacing w:before="0" w:after="0" w:line="360" w:lineRule="auto"/>
        <w:ind w:firstLine="709"/>
        <w:jc w:val="both"/>
      </w:pPr>
      <w:r>
        <w:rPr>
          <w:rFonts w:ascii="Times New Roman" w:hAnsi="Times New Roman"/>
          <w:sz w:val="28"/>
        </w:rPr>
        <w:t>Полная иерархическая оценка лучшего запуска r25: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Таблица 4.5 демонстрирует полный диагностический профиль лучшего запуска r25. На уровне L1 достигнуто CCR=100%: per-component декомпозиция Stage 1 обеспечивает полное покрытие всех формальных ограничений нормальности в описаниях — это прямой результат фокусировки VLM на отдельных компонентах вместо монолитного описания. CLIPScore=69.72% — умеренное значение, ниже, чем у промежуточного этапа (84.77%): per-component описания более специализированы и менее полно описывают общую сцену, что снижает косинусное сходство с изображением в целом. На уровне L2 MACE=0.24 означает низкую ошибку счёта — модель корректно определяет количество компонентов в большинстве случаев. Spatial Accuracy=64.25% отражает частичную точность пространственных утверждений и является основным источником оставшихся ошибок детекции (FN=10). На уровне L3 Sub-Q Consistency=70.51% — умеренная стабильность: модель согласованно отвечает примерно в 7 из 10 случаев при перефразировках вопроса. На уровне L4 AUROC=100% и F1-max=100% получены на 50-изображений подмножестве, что означает полное разделение нормальных и аномальных изображений по anomaly_score при оптимальном пороге.</w:t>
      </w:r>
    </w:p>
    <w:p>
      <w:pPr>
        <w:spacing w:before="0" w:after="0" w:line="360" w:lineRule="auto"/>
        <w:ind w:firstLine="709"/>
        <w:jc w:val="both"/>
      </w:pPr>
      <w:r>
        <w:rPr>
          <w:rFonts w:ascii="Times New Roman" w:hAnsi="Times New Roman"/>
          <w:sz w:val="28"/>
        </w:rPr>
        <w:t>Анализ L2.5 Filter Precision=21.05% выявил принципиальное ограничение: Qwen2.5-3B-Instruct не различает семантически близкие перефразировки при сопоставлении с формальными ограничениями. Судья часто ошибочно классифицирует корректные вопросы как не покрывающие ограничения. Это не влияет на качество детекции (L4), но снижает диагностическую ценность метрики L2.5. Решение — использование более мощного судьи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Сравнение r23 и r25 позволяет изолировать эффект RC4-A:</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полностью устраняет ложные срабатывания (FP: 12→0), однако увеличивает число пропущенных аномалий (FN: 3→10). Это характерный trade-off: более строгая верификация (обязательное наблюдение перед выводом) повышает специфичность за счёт чувствительности. Механизм устранения FP подтверждается логикой POPE [34]: в r23 модель давала «Yes» не потому что нарушения не было, а потому что не была вынуждена его искать; RC4-A перекрыл этот shortcut.</w:t>
      </w:r>
    </w:p>
    <w:p>
      <w:pPr>
        <w:spacing w:before="0" w:after="0" w:line="360" w:lineRule="auto"/>
        <w:ind w:firstLine="709"/>
        <w:jc w:val="both"/>
      </w:pPr>
      <w:r>
        <w:rPr>
          <w:rFonts w:ascii="Times New Roman" w:hAnsi="Times New Roman"/>
          <w:sz w:val="28"/>
        </w:rPr>
        <w:t>Анализ структуры FN=10 показывает, что около 70% пропущенных аномалий — пространственные нарушения: неправильное расположение компонентов относительно друг друга или относительно отсеков коробки. Это полностью согласуется с систематической слабостью VLM в пространственном рассуждении, задокументированной в «What's Up with VLMs?» [33]: даже дообученные SOTA-модели достигают лишь 56% точности на задачах пространственных отношений против 99% у людей. CoT-наблюдение в Step 1 корректно описывает геометрию сцены, но языковой модуль 8B-размера не всегда способен верифицировать нормативное пространственное ограничение относительно описанной геометрии. Это объясняет, почему наш SRA=64.25% значительно выше случайного уровня, но ниже человеческого — и напрямую определяет основную часть оставшихся ошибок. Гипотеза: InternVL2.5-38B, обладающий более мощным языковым модулем (Qwen2.5-72B в основе), должен демонстрировать существенно лучшее пространственное рассуждение [8] и снизить FN за счёт пространственных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контекстуализации результатов сопоставим наш метод с оригинальным LogicQA [L1]:</w:t>
      </w:r>
    </w:p>
    <w:p>
      <w:pPr>
        <w:spacing w:before="0" w:after="0" w:line="360" w:lineRule="auto"/>
        <w:ind w:firstLine="709"/>
        <w:jc w:val="both"/>
      </w:pPr>
      <w:r>
        <w:rPr>
          <w:rFonts w:ascii="Times New Roman" w:hAnsi="Times New Roman"/>
          <w:sz w:val="28"/>
        </w:rPr>
        <w:t>Оригинальный LogicQA (GPT-4o): средний AUROC ≈ 0.876 по всем 5 классам MVTec LOCO AD. Наш базовый метод (InternVL2.5-8B): средний AUROC = 0.527. Наш лучший результат (InternVL2.5-8B, r25): AUROC = 0.852 на breakfast_box. Таким образом, разработанные улучшения пайплайна позволяют single-class результату достичь уровня, сопоставимого с GPT-4o, несмотря на использование значительно менее мощной открытой модели. Ключевое практическое преимущество: полная воспроизводимость, нулевая стоимость API,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Базовый средний AUROC InternVL2.5-8B по пяти классам MVTec LOCO AD составил 0.527, что значительно ниже результатов оригинального LogicQA на GPT-4o (0.876) и подтверждает необходимость компенсации ограничений открытой модели через улучшение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продемонстрировала постепенный рост AUROC с 0.521 (r18) до 0.852 (r25) на классе breakfast_box; наибольший вклад внесли устранение ошибок реализации Stage 3b/3c (r23, +0.28 AUROC) и внедрение RC4-A CoT (r25, +0.07 AUROC при FP=0).</w:t>
      </w:r>
    </w:p>
    <w:p>
      <w:pPr>
        <w:spacing w:before="0" w:after="0" w:line="360" w:lineRule="auto"/>
        <w:ind w:left="709" w:hanging="283"/>
        <w:jc w:val="both"/>
      </w:pPr>
      <w:r>
        <w:rPr>
          <w:rFonts w:ascii="Times New Roman" w:hAnsi="Times New Roman"/>
          <w:sz w:val="28"/>
        </w:rPr>
        <w:t>3. Лучший результат сопоставим с GPT-4o при нулевой стоимости API и полной воспроизводимости; иерархическая оценка выявила узкое место на уровне L2.5 — ограниченность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Целью настоящей работы являлось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В ходе работы решены следующие задачи:</w:t>
      </w:r>
    </w:p>
    <w:p>
      <w:pPr>
        <w:spacing w:before="0" w:after="0" w:line="360" w:lineRule="auto"/>
        <w:ind w:left="709" w:hanging="283"/>
        <w:jc w:val="both"/>
      </w:pPr>
      <w:r>
        <w:rPr>
          <w:rFonts w:ascii="Times New Roman" w:hAnsi="Times New Roman"/>
          <w:sz w:val="28"/>
        </w:rPr>
        <w:t>1. Проведён обзор существующих методов обнаружения аномалий. Установлено, что embedding-based и reconstruction-based методы не применимы к логическим аномалиям; единственным перспективным подходом является VLM-based семантическое рассуждение.</w:t>
      </w:r>
    </w:p>
    <w:p>
      <w:pPr>
        <w:spacing w:before="0" w:after="0" w:line="360" w:lineRule="auto"/>
        <w:ind w:left="709" w:hanging="283"/>
        <w:jc w:val="both"/>
      </w:pPr>
      <w:r>
        <w:rPr>
          <w:rFonts w:ascii="Times New Roman" w:hAnsi="Times New Roman"/>
          <w:sz w:val="28"/>
        </w:rPr>
        <w:t>2. Воспроизведён метод LogicQA с InternVL2.5-8B и установлены базовые метрики: средний AUROC =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ISO 9001:2015. Quality management systems — Requirements. — Geneva: ISO, 2015. — 29 p.</w:t>
      </w:r>
    </w:p>
    <w:p>
      <w:pPr>
        <w:spacing w:before="0" w:after="0" w:line="360" w:lineRule="auto"/>
        <w:ind w:left="567" w:hanging="567"/>
        <w:jc w:val="both"/>
      </w:pPr>
      <w:r>
        <w:rPr>
          <w:rFonts w:ascii="Times New Roman" w:hAnsi="Times New Roman"/>
          <w:sz w:val="28"/>
        </w:rPr>
        <w:t>2. Goodfellow I., Bengio Y., Courville A. Deep learning. — MIT Press, 2016. — 800 p.</w:t>
      </w:r>
    </w:p>
    <w:p>
      <w:pPr>
        <w:spacing w:before="0" w:after="0" w:line="360" w:lineRule="auto"/>
        <w:ind w:left="567" w:hanging="567"/>
        <w:jc w:val="both"/>
      </w:pPr>
      <w:r>
        <w:rPr>
          <w:rFonts w:ascii="Times New Roman" w:hAnsi="Times New Roman"/>
          <w:sz w:val="28"/>
        </w:rPr>
        <w:t>3. LeCun Y., Bengio Y., Hinton G. Deep learning // Nature. — 2015. — Vol. 521. — P. 436–444.</w:t>
      </w:r>
    </w:p>
    <w:p>
      <w:pPr>
        <w:spacing w:before="0" w:after="0" w:line="360" w:lineRule="auto"/>
        <w:ind w:left="567" w:hanging="567"/>
        <w:jc w:val="both"/>
      </w:pPr>
      <w:r>
        <w:rPr>
          <w:rFonts w:ascii="Times New Roman" w:hAnsi="Times New Roman"/>
          <w:sz w:val="28"/>
        </w:rPr>
        <w:t>4. Bergmann P., Batzner K., Fauser M. et al. The MVTec Anomaly Detection Dataset: A Comprehensive Real-World Dataset for Unsupervised Anomaly Detection // International Journal of Computer Vision. — 2021. — Vol. 129. — P. 1038–1059.</w:t>
      </w:r>
    </w:p>
    <w:p>
      <w:pPr>
        <w:spacing w:before="0" w:after="0" w:line="360" w:lineRule="auto"/>
        <w:ind w:left="567" w:hanging="567"/>
        <w:jc w:val="both"/>
      </w:pPr>
      <w:r>
        <w:rPr>
          <w:rFonts w:ascii="Times New Roman" w:hAnsi="Times New Roman"/>
          <w:sz w:val="28"/>
        </w:rPr>
        <w:t>5. Jeong J., Zou Y., Kim T., et al. WinCLIP: Zero-/Few-Shot Anomaly Classification and Segmentation // Proceedings of CVPR. — 2023. — P. 19606–19616.</w:t>
      </w:r>
    </w:p>
    <w:p>
      <w:pPr>
        <w:spacing w:before="0" w:after="0" w:line="360" w:lineRule="auto"/>
        <w:ind w:left="567" w:hanging="567"/>
        <w:jc w:val="both"/>
      </w:pPr>
      <w:r>
        <w:rPr>
          <w:rFonts w:ascii="Times New Roman" w:hAnsi="Times New Roman"/>
          <w:sz w:val="28"/>
        </w:rPr>
        <w:t>6. Batzner K., Heckler L., Büttner R. EfficientAD: Accurate Visual Anomaly Detection at Millisecond-Level Latencies // Proceedings of WACV. — 2024. — P. 128–138.</w:t>
      </w:r>
    </w:p>
    <w:p>
      <w:pPr>
        <w:spacing w:before="0" w:after="0" w:line="360" w:lineRule="auto"/>
        <w:ind w:left="567" w:hanging="567"/>
        <w:jc w:val="both"/>
      </w:pPr>
      <w:r>
        <w:rPr>
          <w:rFonts w:ascii="Times New Roman" w:hAnsi="Times New Roman"/>
          <w:sz w:val="28"/>
        </w:rPr>
        <w:t>7. Radford A., Kim J.W., Hallacy C. et al. Learning Transferable Visual Models From Natural Language Supervision // Proceedings of ICML. — 2021. — P. 8748–8763.</w:t>
      </w:r>
    </w:p>
    <w:p>
      <w:pPr>
        <w:spacing w:before="0" w:after="0" w:line="360" w:lineRule="auto"/>
        <w:ind w:left="567" w:hanging="567"/>
        <w:jc w:val="both"/>
      </w:pPr>
      <w:r>
        <w:rPr>
          <w:rFonts w:ascii="Times New Roman" w:hAnsi="Times New Roman"/>
          <w:sz w:val="28"/>
        </w:rPr>
        <w:t>8. Chen Z., Wu J., Wang W. et al. InternVL: Scaling up Vision Foundation Models and Aligning for Generic Visual-Linguistic Tasks // arXiv:2312.14238. — 2024.</w:t>
      </w:r>
    </w:p>
    <w:p>
      <w:pPr>
        <w:spacing w:before="0" w:after="0" w:line="360" w:lineRule="auto"/>
        <w:ind w:left="567" w:hanging="567"/>
        <w:jc w:val="both"/>
      </w:pPr>
      <w:r>
        <w:rPr>
          <w:rFonts w:ascii="Times New Roman" w:hAnsi="Times New Roman"/>
          <w:sz w:val="28"/>
        </w:rPr>
        <w:t>9. Lin J., Tang J., Tang H. et al. AWQ: Activation-aware Weight Quantization for LLM Compression and Acceleration // Proceedings of MLSys. — 2024.</w:t>
      </w:r>
    </w:p>
    <w:p>
      <w:pPr>
        <w:spacing w:before="0" w:after="0" w:line="360" w:lineRule="auto"/>
        <w:ind w:left="567" w:hanging="567"/>
        <w:jc w:val="both"/>
      </w:pPr>
      <w:r>
        <w:rPr>
          <w:rFonts w:ascii="Times New Roman" w:hAnsi="Times New Roman"/>
          <w:sz w:val="28"/>
        </w:rPr>
        <w:t>10. Roth K., Pemula L., Zepeda J. et al. Towards Total Recall in Industrial Anomaly Detection (PatchCore) // Proceedings of CVPR. — 2022. — P. 14298–14308.</w:t>
      </w:r>
    </w:p>
    <w:p>
      <w:pPr>
        <w:spacing w:before="0" w:after="0" w:line="360" w:lineRule="auto"/>
        <w:ind w:left="567" w:hanging="567"/>
        <w:jc w:val="both"/>
      </w:pPr>
      <w:r>
        <w:rPr>
          <w:rFonts w:ascii="Times New Roman" w:hAnsi="Times New Roman"/>
          <w:sz w:val="28"/>
        </w:rPr>
        <w:t>11. Defard T., Setkov A., Loesch A., Audigier R. PaDiM: A Patch Distribution Modeling Framework for Anomaly Detection and Localization // ICPR. — 2021.</w:t>
      </w:r>
    </w:p>
    <w:p>
      <w:pPr>
        <w:spacing w:before="0" w:after="0" w:line="360" w:lineRule="auto"/>
        <w:ind w:left="567" w:hanging="567"/>
        <w:jc w:val="both"/>
      </w:pPr>
      <w:r>
        <w:rPr>
          <w:rFonts w:ascii="Times New Roman" w:hAnsi="Times New Roman"/>
          <w:sz w:val="28"/>
        </w:rPr>
        <w:t>12. Zavrtanik V., Kristan M., Skočaj D. DRAEM — A Discriminatively Trained Reconstruction Embedding for Surface Anomaly Detection // ICCV. — 2021.</w:t>
      </w:r>
    </w:p>
    <w:p>
      <w:pPr>
        <w:spacing w:before="0" w:after="0" w:line="360" w:lineRule="auto"/>
        <w:ind w:left="567" w:hanging="567"/>
        <w:jc w:val="both"/>
      </w:pPr>
      <w:r>
        <w:rPr>
          <w:rFonts w:ascii="Times New Roman" w:hAnsi="Times New Roman"/>
          <w:sz w:val="28"/>
        </w:rPr>
        <w:t>13. Roth K., Pemula L., Zepeda J. et al. Towards Total Recall in Industrial Anomaly Detection // CVPR. — 2022. — P. 14298–14308.</w:t>
      </w:r>
    </w:p>
    <w:p>
      <w:pPr>
        <w:spacing w:before="0" w:after="0" w:line="360" w:lineRule="auto"/>
        <w:ind w:left="567" w:hanging="567"/>
        <w:jc w:val="both"/>
      </w:pPr>
      <w:r>
        <w:rPr>
          <w:rFonts w:ascii="Times New Roman" w:hAnsi="Times New Roman"/>
          <w:sz w:val="28"/>
        </w:rPr>
        <w:t>14. Wang G., Han S., Ding E., Huang D. Student-Teacher Feature Pyramid Matching for Unsupervised Anomaly Detection // BMVC. — 2021.</w:t>
      </w:r>
    </w:p>
    <w:p>
      <w:pPr>
        <w:spacing w:before="0" w:after="0" w:line="360" w:lineRule="auto"/>
        <w:ind w:left="567" w:hanging="567"/>
        <w:jc w:val="both"/>
      </w:pPr>
      <w:r>
        <w:rPr>
          <w:rFonts w:ascii="Times New Roman" w:hAnsi="Times New Roman"/>
          <w:sz w:val="28"/>
        </w:rPr>
        <w:t>15. Deng H., Li X. Anomaly Detection via Reverse Distillation from One-Class Embedding // CVPR. — 2022.</w:t>
      </w:r>
    </w:p>
    <w:p>
      <w:pPr>
        <w:spacing w:before="0" w:after="0" w:line="360" w:lineRule="auto"/>
        <w:ind w:left="567" w:hanging="567"/>
        <w:jc w:val="both"/>
      </w:pPr>
      <w:r>
        <w:rPr>
          <w:rFonts w:ascii="Times New Roman" w:hAnsi="Times New Roman"/>
          <w:sz w:val="28"/>
        </w:rPr>
        <w:t>16. Lee S., Lee S., Song B.C. CFA: Coupled-Hypersphere-Based Feature Adaptation for Target-Oriented Anomaly Localization // IEEE Access. — 2022.</w:t>
      </w:r>
    </w:p>
    <w:p>
      <w:pPr>
        <w:spacing w:before="0" w:after="0" w:line="360" w:lineRule="auto"/>
        <w:ind w:left="567" w:hanging="567"/>
        <w:jc w:val="both"/>
      </w:pPr>
      <w:r>
        <w:rPr>
          <w:rFonts w:ascii="Times New Roman" w:hAnsi="Times New Roman"/>
          <w:sz w:val="28"/>
        </w:rPr>
        <w:t>17. Vaswani A., Shazeer N., Parmar N. et al. Attention Is All You Need // Advances in NeurIPS. — 2017. — Vol. 30.</w:t>
      </w:r>
    </w:p>
    <w:p>
      <w:pPr>
        <w:spacing w:before="0" w:after="0" w:line="360" w:lineRule="auto"/>
        <w:ind w:left="567" w:hanging="567"/>
        <w:jc w:val="both"/>
      </w:pPr>
      <w:r>
        <w:rPr>
          <w:rFonts w:ascii="Times New Roman" w:hAnsi="Times New Roman"/>
          <w:sz w:val="28"/>
        </w:rPr>
        <w:t>18. Dosovitskiy A., Beyer L., Kolesnikov A. et al. An Image is Worth 16x16 Words: Transformers for Image Recognition at Scale // ICLR. — 2021.</w:t>
      </w:r>
    </w:p>
    <w:p>
      <w:pPr>
        <w:spacing w:before="0" w:after="0" w:line="360" w:lineRule="auto"/>
        <w:ind w:left="567" w:hanging="567"/>
        <w:jc w:val="both"/>
      </w:pPr>
      <w:r>
        <w:rPr>
          <w:rFonts w:ascii="Times New Roman" w:hAnsi="Times New Roman"/>
          <w:sz w:val="28"/>
        </w:rPr>
        <w:t>19. Liu Z., Lin Y., Cao Y. et al. Swin Transformer: Hierarchical Vision Transformer using Shifted Windows // ICCV. — 2021.</w:t>
      </w:r>
    </w:p>
    <w:p>
      <w:pPr>
        <w:spacing w:before="0" w:after="0" w:line="360" w:lineRule="auto"/>
        <w:ind w:left="567" w:hanging="567"/>
        <w:jc w:val="both"/>
      </w:pPr>
      <w:r>
        <w:rPr>
          <w:rFonts w:ascii="Times New Roman" w:hAnsi="Times New Roman"/>
          <w:sz w:val="28"/>
        </w:rPr>
        <w:t>20. He K., Zhang X., Ren S., Sun J. Deep Residual Learning for Image Recognition // CVPR. — 2016. — P. 770–778.</w:t>
      </w:r>
    </w:p>
    <w:p>
      <w:pPr>
        <w:spacing w:before="0" w:after="0" w:line="360" w:lineRule="auto"/>
        <w:ind w:left="567" w:hanging="567"/>
        <w:jc w:val="both"/>
      </w:pPr>
      <w:r>
        <w:rPr>
          <w:rFonts w:ascii="Times New Roman" w:hAnsi="Times New Roman"/>
          <w:sz w:val="28"/>
        </w:rPr>
        <w:t>21. Brown T., Mann B., Ryder N. et al. Language Models are Few-Shot Learners // Advances in NeurIPS. — 2020. — Vol. 33.</w:t>
      </w:r>
    </w:p>
    <w:p>
      <w:pPr>
        <w:spacing w:before="0" w:after="0" w:line="360" w:lineRule="auto"/>
        <w:ind w:left="567" w:hanging="567"/>
        <w:jc w:val="both"/>
      </w:pPr>
      <w:r>
        <w:rPr>
          <w:rFonts w:ascii="Times New Roman" w:hAnsi="Times New Roman"/>
          <w:sz w:val="28"/>
        </w:rPr>
        <w:t>22. Kwon Y., Kim S., Choi J. LogicQA: Question-Checklist-Based Anomaly Detection Using VLMs // arXiv:2503.20252. — 2025.</w:t>
      </w:r>
    </w:p>
    <w:p>
      <w:pPr>
        <w:spacing w:before="0" w:after="0" w:line="360" w:lineRule="auto"/>
        <w:ind w:left="567" w:hanging="567"/>
        <w:jc w:val="both"/>
      </w:pPr>
      <w:r>
        <w:rPr>
          <w:rFonts w:ascii="Times New Roman" w:hAnsi="Times New Roman"/>
          <w:sz w:val="28"/>
        </w:rPr>
        <w:t>23. Bergmann P., Batzner K., Fauser M. et al. Beyond Dents and Scratches: Logical Constraints in Unsupervised Anomaly Detection and Localization // International Journal of Computer Vision. — 2022. — Vol. 130. — P. 947–969.</w:t>
      </w:r>
    </w:p>
    <w:p>
      <w:pPr>
        <w:spacing w:before="0" w:after="0" w:line="360" w:lineRule="auto"/>
        <w:ind w:left="567" w:hanging="567"/>
        <w:jc w:val="both"/>
      </w:pPr>
      <w:r>
        <w:rPr>
          <w:rFonts w:ascii="Times New Roman" w:hAnsi="Times New Roman"/>
          <w:sz w:val="28"/>
        </w:rPr>
        <w:t>24. Chen Z., Wang W., Tian H. et al. InternVL2.5: Expanding Performance Frontiers for Multimodal Models // arXiv:2412.05271. — 2024.</w:t>
      </w:r>
    </w:p>
    <w:p>
      <w:pPr>
        <w:spacing w:before="0" w:after="0" w:line="360" w:lineRule="auto"/>
        <w:ind w:left="567" w:hanging="567"/>
        <w:jc w:val="both"/>
      </w:pPr>
      <w:r>
        <w:rPr>
          <w:rFonts w:ascii="Times New Roman" w:hAnsi="Times New Roman"/>
          <w:sz w:val="28"/>
        </w:rPr>
        <w:t>25. Jeong J., Zou Y., Kim T. et al. WinCLIP: Zero-/Few-Shot Anomaly Classification and Segmentation // CVPR. — 2023.</w:t>
      </w:r>
    </w:p>
    <w:p>
      <w:pPr>
        <w:spacing w:before="0" w:after="0" w:line="360" w:lineRule="auto"/>
        <w:ind w:left="567" w:hanging="567"/>
        <w:jc w:val="both"/>
      </w:pPr>
      <w:r>
        <w:rPr>
          <w:rFonts w:ascii="Times New Roman" w:hAnsi="Times New Roman"/>
          <w:sz w:val="28"/>
        </w:rPr>
        <w:t>26. Batzner K., Heckler L., Büttner R. EfficientAD: Accurate Visual Anomaly Detection at Millisecond-Level Latencies // WACV. — 2024.</w:t>
      </w:r>
    </w:p>
    <w:p>
      <w:pPr>
        <w:spacing w:before="0" w:after="0" w:line="360" w:lineRule="auto"/>
        <w:ind w:left="567" w:hanging="567"/>
        <w:jc w:val="both"/>
      </w:pPr>
      <w:r>
        <w:rPr>
          <w:rFonts w:ascii="Times New Roman" w:hAnsi="Times New Roman"/>
          <w:sz w:val="28"/>
        </w:rPr>
        <w:t>27. Hessel J., Holtzman A., Forbes M. et al. CLIPScore: A Reference-free Evaluation Metric for Image Captioning // EMNLP. — 2021. — P. 7514–7528.</w:t>
      </w:r>
    </w:p>
    <w:p>
      <w:pPr>
        <w:spacing w:before="0" w:after="0" w:line="360" w:lineRule="auto"/>
        <w:ind w:left="567" w:hanging="567"/>
        <w:jc w:val="both"/>
      </w:pPr>
      <w:r>
        <w:rPr>
          <w:rFonts w:ascii="Times New Roman" w:hAnsi="Times New Roman"/>
          <w:sz w:val="28"/>
        </w:rPr>
        <w:t>28. Zheng L., Chiang W.L., Sheng Y. et al. Judging LLM-as-a-Judge with MT-Bench and Chatbot Arena // Advances in NeurIPS. — 2023.</w:t>
      </w:r>
    </w:p>
    <w:p>
      <w:pPr>
        <w:spacing w:before="0" w:after="0" w:line="360" w:lineRule="auto"/>
        <w:ind w:left="567" w:hanging="567"/>
        <w:jc w:val="both"/>
      </w:pPr>
      <w:r>
        <w:rPr>
          <w:rFonts w:ascii="Times New Roman" w:hAnsi="Times New Roman"/>
          <w:sz w:val="28"/>
        </w:rPr>
        <w:t>29. Bergmann P., Fauser M., Sattlegger D., Steger C. MVTec AD: A Real-World Dataset for Unsupervised Anomaly Detection // CVPR. — 2019.</w:t>
      </w:r>
    </w:p>
    <w:p>
      <w:pPr>
        <w:spacing w:before="0" w:after="0" w:line="360" w:lineRule="auto"/>
        <w:ind w:left="567" w:hanging="567"/>
        <w:jc w:val="both"/>
      </w:pPr>
      <w:r>
        <w:rPr>
          <w:rFonts w:ascii="Times New Roman" w:hAnsi="Times New Roman"/>
          <w:sz w:val="28"/>
        </w:rPr>
        <w:t>30. Jing L., Li R., Chen Y. et al. FaithScore: Evaluating Hallucinations in Large Vision-Language Models // arXiv:2311.01477. — 2023.</w:t>
      </w:r>
    </w:p>
    <w:p>
      <w:pPr>
        <w:spacing w:before="0" w:after="0" w:line="360" w:lineRule="auto"/>
        <w:ind w:left="567" w:hanging="567"/>
        <w:jc w:val="both"/>
      </w:pPr>
      <w:r>
        <w:rPr>
          <w:rFonts w:ascii="Times New Roman" w:hAnsi="Times New Roman"/>
          <w:sz w:val="28"/>
        </w:rPr>
        <w:t>31. Lee S., Choi S., Shin J. et al. Prometheus-Vision: Vision-Language Model as a Judge for Fine-Grained Evaluation // ACL. — 2024.</w:t>
      </w:r>
    </w:p>
    <w:p>
      <w:pPr>
        <w:spacing w:before="0" w:after="0" w:line="360" w:lineRule="auto"/>
        <w:ind w:left="567" w:hanging="567"/>
        <w:jc w:val="both"/>
      </w:pPr>
      <w:r>
        <w:rPr>
          <w:rFonts w:ascii="Times New Roman" w:hAnsi="Times New Roman"/>
          <w:sz w:val="28"/>
        </w:rPr>
        <w:t>32. Qiu H., Zhang P., Tang X. et al. VALOR-EVAL: Holistic Coverage and Faithfulness Evaluation of Large Vision-Language Models // arXiv:2404.13874. — 2024.</w:t>
      </w:r>
    </w:p>
    <w:p>
      <w:pPr>
        <w:spacing w:before="0" w:after="0" w:line="360" w:lineRule="auto"/>
        <w:ind w:left="567" w:hanging="567"/>
        <w:jc w:val="both"/>
      </w:pPr>
      <w:r>
        <w:rPr>
          <w:rFonts w:ascii="Times New Roman" w:hAnsi="Times New Roman"/>
          <w:sz w:val="28"/>
        </w:rPr>
        <w:t>33. Kamath A., Hessel J., Chang K.W. What's "up" with Vision-Language Models? Investigating Their Struggle with Spatial Reasoning // EMNLP. — 2023.</w:t>
      </w:r>
    </w:p>
    <w:p>
      <w:pPr>
        <w:spacing w:before="0" w:after="0" w:line="360" w:lineRule="auto"/>
        <w:ind w:left="567" w:hanging="567"/>
        <w:jc w:val="both"/>
      </w:pPr>
      <w:r>
        <w:rPr>
          <w:rFonts w:ascii="Times New Roman" w:hAnsi="Times New Roman"/>
          <w:sz w:val="28"/>
        </w:rPr>
        <w:t>34. Li Y., Du Y., Zhou K. et al. Evaluating Object Hallucination in Large Vision-Language Models (POPE) // EMNLP. — 2023. — P. 292–305.</w:t>
      </w:r>
    </w:p>
    <w:p>
      <w:pPr>
        <w:spacing w:before="0" w:after="0" w:line="360" w:lineRule="auto"/>
        <w:ind w:left="567" w:hanging="567"/>
        <w:jc w:val="both"/>
      </w:pPr>
      <w:r>
        <w:rPr>
          <w:rFonts w:ascii="Times New Roman" w:hAnsi="Times New Roman"/>
          <w:sz w:val="28"/>
        </w:rPr>
        <w:t>35. Kostumov V., Borisov V., Belyy A. et al. Uncertainty in Vision-Language Models: Towards Reliable Evaluation // arXiv:2402.14418. — 2024.</w:t>
      </w:r>
    </w:p>
    <w:p>
      <w:pPr>
        <w:spacing w:before="0" w:after="0" w:line="360" w:lineRule="auto"/>
        <w:ind w:left="567" w:hanging="567"/>
        <w:jc w:val="both"/>
      </w:pPr>
      <w:r>
        <w:rPr>
          <w:rFonts w:ascii="Times New Roman" w:hAnsi="Times New Roman"/>
          <w:sz w:val="28"/>
        </w:rPr>
        <w:t>36. Wei J., Wang X., Schuurmans D. et al. Chain-of-Thought Prompting Elicits Reasoning in Large Language Models // Advances in Neural Information Processing Systems (NeurIPS). — 2022. — Vol. 35. — P. 24824–24837.</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