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INSERT UCBL AND IGFL LOGOS HERE ]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Universite Claude Bernard Lyon 1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BSc in Bioinformatics — Portail Informatique</w:t>
      </w:r>
    </w:p>
    <w:p>
      <w:pPr>
        <w:spacing w:after="700"/>
        <w:jc w:val="center"/>
      </w:pPr>
      <w:r>
        <w:rPr>
          <w:rFonts w:ascii="Arial" w:cs="Arial" w:eastAsia="Arial" w:hAnsi="Arial"/>
          <w:sz w:val="22"/>
          <w:szCs w:val="22"/>
        </w:rPr>
        <w:t xml:space="preserve">UE LIFSTAGE — Third Year Internship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Alternative Splicing Analysis of the Murine Circadian
Transcriptome Using Nanopore Long-Read RNA-seq</w:t>
      </w:r>
    </w:p>
    <w:p>
      <w:pPr>
        <w:spacing w:after="7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Analysis of the alternative splicing landscape of the murine circadian
transcriptome using Nanopore long-read RNA-seq and orthogonal
validation with Illumina short-read sequencing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Student: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Gricey Rangel Trejo</w:t>
      </w:r>
    </w:p>
    <w:p>
      <w:pPr>
        <w:spacing w:after="500"/>
        <w:jc w:val="center"/>
      </w:pPr>
      <w:r>
        <w:rPr>
          <w:rFonts w:ascii="Arial" w:cs="Arial" w:eastAsia="Arial" w:hAnsi="Arial"/>
          <w:sz w:val="22"/>
          <w:szCs w:val="22"/>
        </w:rPr>
        <w:t xml:space="preserve">BSc in Bioinformatics, 3rd year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Internship period: April 27 to August 28, 2026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Institut de Genomique Fonctionnelle de Lyon (IGFL)</w:t>
      </w:r>
    </w:p>
    <w:p>
      <w:pPr>
        <w:spacing w:after="500"/>
        <w:jc w:val="center"/>
      </w:pPr>
      <w:r>
        <w:rPr>
          <w:rFonts w:ascii="Arial" w:cs="Arial" w:eastAsia="Arial" w:hAnsi="Arial"/>
          <w:sz w:val="22"/>
          <w:szCs w:val="22"/>
        </w:rPr>
        <w:t xml:space="preserve">Ecole Normale Superieure de Lyon — CNRS UMR 5242, Lyon, France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Internship supervisor: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Dr. Kiran Padmanabhan</w:t>
      </w:r>
    </w:p>
    <w:p>
      <w:pPr>
        <w:spacing w:after="500"/>
        <w:jc w:val="center"/>
      </w:pPr>
      <w:r>
        <w:rPr>
          <w:rFonts w:ascii="Arial" w:cs="Arial" w:eastAsia="Arial" w:hAnsi="Arial"/>
          <w:sz w:val="22"/>
          <w:szCs w:val="22"/>
        </w:rPr>
        <w:t xml:space="preserve">Research Director and Group Leader, IGFL / Directeur de Recherche, INSERM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Academic tutor: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Alexandre Meyer</w:t>
      </w:r>
    </w:p>
    <w:p>
      <w:pPr>
        <w:spacing w:after="700"/>
        <w:jc w:val="center"/>
      </w:pPr>
      <w:r>
        <w:rPr>
          <w:rFonts w:ascii="Arial" w:cs="Arial" w:eastAsia="Arial" w:hAnsi="Arial"/>
          <w:sz w:val="22"/>
          <w:szCs w:val="22"/>
        </w:rPr>
        <w:t xml:space="preserve">Universite Claude Bernard Lyon 1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Academic year 2025-2026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References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Chikhaoui, L. (2022).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Circadian regulation of post-transcriptional processes in the mouse liver</w:t>
      </w:r>
      <w:r>
        <w:rPr>
          <w:rFonts w:ascii="Arial" w:cs="Arial" w:eastAsia="Arial" w:hAnsi="Arial"/>
          <w:sz w:val="22"/>
          <w:szCs w:val="22"/>
        </w:rPr>
        <w:t xml:space="preserve"> [PhD thesis]. Ecole Normale Superieure de Lyon, Universite Claude Bernard Lyon 1.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Chikhaoui, L., Mamgain, K., Seki, M., Blanco, C., Sassolas, F., Folco, E. G., Sery, D., Suzuki, Y., Ananthasubramaniam, B., &amp; Padmanabhan, K. (unpublished). PERIOD proteins dictate targeting of splicing factors to chromatin, shaping circadian transcriptome diversity.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Manuscript under review.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Chen, Y., Davidson, N. M., Wan, Y. K., et al. (2021). A systematic benchmark of Nanopore long read RNA sequencing for transcript level analysis in human cell lines.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bioRxiv</w:t>
      </w:r>
      <w:r>
        <w:rPr>
          <w:rFonts w:ascii="Arial" w:cs="Arial" w:eastAsia="Arial" w:hAnsi="Arial"/>
          <w:sz w:val="22"/>
          <w:szCs w:val="22"/>
        </w:rPr>
        <w:t xml:space="preserve">. https://doi.org/10.1101/2021.04.21.440736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Gehring, N. H., &amp; Roignant, J.-Y. (2021). Anything but ordinary: emerging splicing mechanisms in eukaryotic gene regulation.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Trends in Genetics, 37</w:t>
      </w:r>
      <w:r>
        <w:rPr>
          <w:rFonts w:ascii="Arial" w:cs="Arial" w:eastAsia="Arial" w:hAnsi="Arial"/>
          <w:sz w:val="22"/>
          <w:szCs w:val="22"/>
        </w:rPr>
        <w:t xml:space="preserve">(4), 355-372. https://doi.org/10.1016/j.tig.2020.10.009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Love, M. I., Anders, S., Kim, V., &amp; Huber, W. (2016). RNA-Seq workflow: gene-level exploratory analysis and differential expression.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F1000Research, 4</w:t>
      </w:r>
      <w:r>
        <w:rPr>
          <w:rFonts w:ascii="Arial" w:cs="Arial" w:eastAsia="Arial" w:hAnsi="Arial"/>
          <w:sz w:val="22"/>
          <w:szCs w:val="22"/>
        </w:rPr>
        <w:t xml:space="preserve">, 1070. https://doi.org/10.12688/f1000research.7035.2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Patro, R., Duggal, G., Love, M. I., Irizarry, R. A., &amp; Kingsford, C. (2017). Salmon provides fast and bias-aware quantification of transcript expression.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Nature Methods, 14</w:t>
      </w:r>
      <w:r>
        <w:rPr>
          <w:rFonts w:ascii="Arial" w:cs="Arial" w:eastAsia="Arial" w:hAnsi="Arial"/>
          <w:sz w:val="22"/>
          <w:szCs w:val="22"/>
        </w:rPr>
        <w:t xml:space="preserve">(4), 417-419. https://doi.org/10.1038/nmeth.4197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Robinson, J. T., Thorvaldsdottir, H., Winckler, W., Guttman, M., Lander, E. S., Getz, G., &amp; Mesirov, J. P. (2011). Integrative genomics viewer.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Nature Biotechnology, 29</w:t>
      </w:r>
      <w:r>
        <w:rPr>
          <w:rFonts w:ascii="Arial" w:cs="Arial" w:eastAsia="Arial" w:hAnsi="Arial"/>
          <w:sz w:val="22"/>
          <w:szCs w:val="22"/>
        </w:rPr>
        <w:t xml:space="preserve">(1), 24-26. https://doi.org/10.1038/nbt.1754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Sessegolo, C., Cruaud, C., Da Silva, C., Cologne, A., Dubarry, M., Derrien, T., Lacroix, V., &amp; Aury, J.-M. (2019). Transcriptome profiling of mouse samples using nanopore sequencing of cDNA and RNA molecules.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Scientific Reports, 9</w:t>
      </w:r>
      <w:r>
        <w:rPr>
          <w:rFonts w:ascii="Arial" w:cs="Arial" w:eastAsia="Arial" w:hAnsi="Arial"/>
          <w:sz w:val="22"/>
          <w:szCs w:val="22"/>
        </w:rPr>
        <w:t xml:space="preserve">(1), 14908. https://doi.org/10.1038/s41598-019-51470-9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Soneson, C., Yao, Y., Bratus-Neuenschwander, A., Patrignani, A., Robinson, M. D., &amp; Hussain, S. (2019). A comprehensive examination of Nanopore native RNA sequencing for characterization of complex transcriptomes.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Nature Communications, 10</w:t>
      </w:r>
      <w:r>
        <w:rPr>
          <w:rFonts w:ascii="Arial" w:cs="Arial" w:eastAsia="Arial" w:hAnsi="Arial"/>
          <w:sz w:val="22"/>
          <w:szCs w:val="22"/>
        </w:rPr>
        <w:t xml:space="preserve">(1), 3359. https://doi.org/10.1038/s41467-019-11272-z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Trincado, J. L., Entizne, J. C., Hysenaj, G., Singh, B., Skalic, M., Elliott, D. J., &amp; Eyras, E. (2018). SUPPA2: fast, accurate, and uncertainty-aware differential splicing analysis across multiple conditions.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Genome Biology, 19</w:t>
      </w:r>
      <w:r>
        <w:rPr>
          <w:rFonts w:ascii="Arial" w:cs="Arial" w:eastAsia="Arial" w:hAnsi="Arial"/>
          <w:sz w:val="22"/>
          <w:szCs w:val="22"/>
        </w:rPr>
        <w:t xml:space="preserve">(1), 40. https://doi.org/10.1186/s13059-018-1415-7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Chikhaoui, L. (2022).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Circadian regulation of post-transcriptional processes in the mouse liver</w:t>
      </w:r>
      <w:r>
        <w:rPr>
          <w:rFonts w:ascii="Arial" w:cs="Arial" w:eastAsia="Arial" w:hAnsi="Arial"/>
          <w:sz w:val="22"/>
          <w:szCs w:val="22"/>
        </w:rPr>
        <w:t xml:space="preserve"> [PhD thesis]. Ecole Normale Superieure de Lyon, Universite Claude Bernard Lyon 1.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Chikhaoui, L., Mamgain, K., Seki, M., Blanco, C., Sassolas, F., Folco, E. G., Sery, D., Suzuki, Y., Ananthasubramaniam, B., &amp; Padmanabhan, K. (unpublished). PERIOD proteins dictate targeting of splicing factors to chromatin, shaping circadian transcriptome diversity.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Manuscript under review.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Chen, Y., Davidson, N. M., Wan, Y. K., et al. (2021). A systematic benchmark of Nanopore long read RNA sequencing for transcript level analysis in human cell lines.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bioRxiv</w:t>
      </w:r>
      <w:r>
        <w:rPr>
          <w:rFonts w:ascii="Arial" w:cs="Arial" w:eastAsia="Arial" w:hAnsi="Arial"/>
          <w:sz w:val="22"/>
          <w:szCs w:val="22"/>
        </w:rPr>
        <w:t xml:space="preserve">. https://doi.org/10.1101/2021.04.21.440736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Gehring, N. H., &amp; Roignant, J.-Y. (2021). Anything but ordinary: emerging splicing mechanisms in eukaryotic gene regulation.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Trends in Genetics, 37</w:t>
      </w:r>
      <w:r>
        <w:rPr>
          <w:rFonts w:ascii="Arial" w:cs="Arial" w:eastAsia="Arial" w:hAnsi="Arial"/>
          <w:sz w:val="22"/>
          <w:szCs w:val="22"/>
        </w:rPr>
        <w:t xml:space="preserve">(4), 355-372. https://doi.org/10.1016/j.tig.2020.10.009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Love, M. I., Anders, S., Kim, V., &amp; Huber, W. (2016). RNA-Seq workflow: gene-level exploratory analysis and differential expression.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F1000Research, 4</w:t>
      </w:r>
      <w:r>
        <w:rPr>
          <w:rFonts w:ascii="Arial" w:cs="Arial" w:eastAsia="Arial" w:hAnsi="Arial"/>
          <w:sz w:val="22"/>
          <w:szCs w:val="22"/>
        </w:rPr>
        <w:t xml:space="preserve">, 1070. https://doi.org/10.12688/f1000research.7035.2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Patro, R., Duggal, G., Love, M. I., Irizarry, R. A., &amp; Kingsford, C. (2017). Salmon provides fast and bias-aware quantification of transcript expression.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Nature Methods, 14</w:t>
      </w:r>
      <w:r>
        <w:rPr>
          <w:rFonts w:ascii="Arial" w:cs="Arial" w:eastAsia="Arial" w:hAnsi="Arial"/>
          <w:sz w:val="22"/>
          <w:szCs w:val="22"/>
        </w:rPr>
        <w:t xml:space="preserve">(4), 417-419. https://doi.org/10.1038/nmeth.4197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Robinson, J. T., Thorvaldsdottir, H., Winckler, W., Guttman, M., Lander, E. S., Getz, G., &amp; Mesirov, J. P. (2011). Integrative genomics viewer.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Nature Biotechnology, 29</w:t>
      </w:r>
      <w:r>
        <w:rPr>
          <w:rFonts w:ascii="Arial" w:cs="Arial" w:eastAsia="Arial" w:hAnsi="Arial"/>
          <w:sz w:val="22"/>
          <w:szCs w:val="22"/>
        </w:rPr>
        <w:t xml:space="preserve">(1), 24-26. https://doi.org/10.1038/nbt.1754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Sessegolo, C., Cruaud, C., Da Silva, C., Cologne, A., Dubarry, M., Derrien, T., Lacroix, V., &amp; Aury, J.-M. (2019). Transcriptome profiling of mouse samples using nanopore sequencing of cDNA and RNA molecules.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Scientific Reports, 9</w:t>
      </w:r>
      <w:r>
        <w:rPr>
          <w:rFonts w:ascii="Arial" w:cs="Arial" w:eastAsia="Arial" w:hAnsi="Arial"/>
          <w:sz w:val="22"/>
          <w:szCs w:val="22"/>
        </w:rPr>
        <w:t xml:space="preserve">(1), 14908. https://doi.org/10.1038/s41598-019-51470-9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Soneson, C., Yao, Y., Bratus-Neuenschwander, A., Patrignani, A., Robinson, M. D., &amp; Hussain, S. (2019). A comprehensive examination of Nanopore native RNA sequencing for characterization of complex transcriptomes.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Nature Communications, 10</w:t>
      </w:r>
      <w:r>
        <w:rPr>
          <w:rFonts w:ascii="Arial" w:cs="Arial" w:eastAsia="Arial" w:hAnsi="Arial"/>
          <w:sz w:val="22"/>
          <w:szCs w:val="22"/>
        </w:rPr>
        <w:t xml:space="preserve">(1), 3359. https://doi.org/10.1038/s41467-019-11272-z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Trincado, J. L., Entizne, J. C., Hysenaj, G., Singh, B., Skalic, M., Elliott, D. J., &amp; Eyras, E. (2018). SUPPA2: fast, accurate, and uncertainty-aware differential splicing analysis across multiple conditions.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Genome Biology, 19</w:t>
      </w:r>
      <w:r>
        <w:rPr>
          <w:rFonts w:ascii="Arial" w:cs="Arial" w:eastAsia="Arial" w:hAnsi="Arial"/>
          <w:sz w:val="22"/>
          <w:szCs w:val="22"/>
        </w:rPr>
        <w:t xml:space="preserve">(1), 40. https://doi.org/10.1186/s13059-018-1415-7</w:t>
      </w:r>
    </w:p>
    <w:p>
      <w:pPr>
        <w:spacing w:after="140"/>
        <w:ind w:left="360" w:hanging="360"/>
        <w:jc w:val="both"/>
      </w:pPr>
      <w:r>
        <w:rPr>
          <w:rFonts w:ascii="Arial" w:cs="Arial" w:eastAsia="Arial" w:hAnsi="Arial"/>
          <w:sz w:val="22"/>
          <w:szCs w:val="22"/>
        </w:rPr>
        <w:t xml:space="preserve">Aviram, R., Dandavate, V., Manella, G., Golik, M., &amp; Asher, G. (2021). Ultradian rhythms of AKT phosphorylation and gene expression emerge in the absence of the circadian clock components Per1 and Per2.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PLOS Biology, 19</w:t>
      </w:r>
      <w:r>
        <w:rPr>
          <w:rFonts w:ascii="Arial" w:cs="Arial" w:eastAsia="Arial" w:hAnsi="Arial"/>
          <w:sz w:val="22"/>
          <w:szCs w:val="22"/>
        </w:rPr>
        <w:t xml:space="preserve">(12), e3001492. https://doi.org/10.1371/journal.pbio.3001492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2026-06-09T13:50:19.851Z</dcterms:created>
  <dcterms:modified xsi:type="dcterms:W3CDTF">2026-06-09T13:50:19.851Z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