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330645">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3951232</wp:posOffset>
            </wp:positionH>
            <wp:positionV relativeFrom="paragraph">
              <wp:posOffset>266</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7">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1170163</wp:posOffset>
            </wp:positionH>
            <wp:positionV relativeFrom="paragraph">
              <wp:posOffset>-37972</wp:posOffset>
            </wp:positionV>
            <wp:extent cx="2551368" cy="998951"/>
            <wp:effectExtent l="0" t="0" r="1905" b="4445"/>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1368" cy="998951"/>
                    </a:xfrm>
                    <a:prstGeom prst="rect">
                      <a:avLst/>
                    </a:prstGeom>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Pr="00330645" w:rsidRDefault="00330645">
      <w:pPr>
        <w:spacing w:after="160"/>
        <w:jc w:val="center"/>
        <w:rPr>
          <w:color w:val="AAAAAA"/>
          <w:sz w:val="20"/>
          <w:szCs w:val="20"/>
        </w:rPr>
      </w:pPr>
    </w:p>
    <w:p w:rsidR="00E12B20" w:rsidRPr="007C2843" w:rsidRDefault="00000000">
      <w:pPr>
        <w:spacing w:after="160"/>
        <w:jc w:val="center"/>
      </w:pPr>
      <w:r w:rsidRPr="007C2843">
        <w:rPr>
          <w:b/>
          <w:bCs/>
          <w:sz w:val="22"/>
          <w:szCs w:val="22"/>
        </w:rPr>
        <w:t>Universite Claude Bernard Lyon 1</w:t>
      </w:r>
    </w:p>
    <w:p w:rsidR="00E12B20" w:rsidRPr="007C2843" w:rsidRDefault="00000000">
      <w:pPr>
        <w:spacing w:after="160"/>
        <w:jc w:val="center"/>
      </w:pPr>
      <w:r w:rsidRPr="007C2843">
        <w:rPr>
          <w:sz w:val="22"/>
          <w:szCs w:val="22"/>
        </w:rPr>
        <w:t>BSc in Bioinformatics — Portail Informatique</w:t>
      </w:r>
    </w:p>
    <w:p w:rsidR="00E12B20" w:rsidRPr="007C2843" w:rsidRDefault="00000000">
      <w:pPr>
        <w:spacing w:after="700"/>
        <w:jc w:val="center"/>
      </w:pPr>
      <w:r w:rsidRPr="007C2843">
        <w:rPr>
          <w:sz w:val="22"/>
          <w:szCs w:val="22"/>
        </w:rPr>
        <w:t>UE LIFSTAGE — Third Year Internship Report</w:t>
      </w:r>
    </w:p>
    <w:p w:rsidR="00E12B20" w:rsidRPr="00330645" w:rsidRDefault="00000000">
      <w:pPr>
        <w:spacing w:after="200"/>
        <w:jc w:val="center"/>
        <w:rPr>
          <w:color w:val="000000" w:themeColor="text1"/>
        </w:rPr>
      </w:pPr>
      <w:r w:rsidRPr="00330645">
        <w:rPr>
          <w:b/>
          <w:bCs/>
          <w:color w:val="000000" w:themeColor="text1"/>
          <w:sz w:val="32"/>
          <w:szCs w:val="32"/>
        </w:rPr>
        <w:t>Alternative Splicing Analysis of the Murine Circadian Transcriptome Using Nanopore Long-Read RNA-seq</w:t>
      </w:r>
    </w:p>
    <w:p w:rsidR="00E12B20" w:rsidRPr="007C2843" w:rsidRDefault="00000000">
      <w:pPr>
        <w:spacing w:after="700"/>
        <w:jc w:val="center"/>
      </w:pPr>
      <w:r w:rsidRPr="007C2843">
        <w:rPr>
          <w:i/>
          <w:iCs/>
          <w:color w:val="555555"/>
          <w:sz w:val="22"/>
          <w:szCs w:val="22"/>
        </w:rPr>
        <w:t>Analysis of the alternative splicing landscape of the murine circadian transcriptome using Nanopore long-read RNA-seq and orthogonal validation with Illumina short-read sequencing</w:t>
      </w:r>
    </w:p>
    <w:p w:rsidR="00E12B20" w:rsidRPr="007C2843" w:rsidRDefault="00000000">
      <w:pPr>
        <w:spacing w:after="160"/>
        <w:jc w:val="center"/>
      </w:pPr>
      <w:r w:rsidRPr="007C2843">
        <w:rPr>
          <w:b/>
          <w:bCs/>
          <w:sz w:val="22"/>
          <w:szCs w:val="22"/>
        </w:rPr>
        <w:t>Student:</w:t>
      </w:r>
    </w:p>
    <w:p w:rsidR="00E12B20" w:rsidRPr="00330645" w:rsidRDefault="00000000">
      <w:pPr>
        <w:spacing w:after="160"/>
        <w:jc w:val="center"/>
        <w:rPr>
          <w:color w:val="000000" w:themeColor="text1"/>
        </w:rPr>
      </w:pPr>
      <w:r w:rsidRPr="00330645">
        <w:rPr>
          <w:b/>
          <w:bCs/>
          <w:color w:val="000000" w:themeColor="text1"/>
          <w:sz w:val="28"/>
          <w:szCs w:val="28"/>
        </w:rPr>
        <w:t>Gricey Rangel Trejo</w:t>
      </w:r>
    </w:p>
    <w:p w:rsidR="00E12B20" w:rsidRPr="007C2843" w:rsidRDefault="00000000">
      <w:pPr>
        <w:spacing w:after="500"/>
        <w:jc w:val="center"/>
      </w:pPr>
      <w:r w:rsidRPr="007C2843">
        <w:rPr>
          <w:sz w:val="22"/>
          <w:szCs w:val="22"/>
        </w:rPr>
        <w:t>BSc in Bioinformatics, 3rd year</w:t>
      </w:r>
    </w:p>
    <w:p w:rsidR="00E12B20" w:rsidRPr="007C2843" w:rsidRDefault="00000000">
      <w:pPr>
        <w:spacing w:after="160"/>
        <w:jc w:val="center"/>
      </w:pPr>
      <w:r w:rsidRPr="007C2843">
        <w:rPr>
          <w:sz w:val="22"/>
          <w:szCs w:val="22"/>
        </w:rPr>
        <w:t>Internship period: April 27 to August 28, 2026</w:t>
      </w:r>
    </w:p>
    <w:p w:rsidR="00E12B20" w:rsidRPr="007C2843" w:rsidRDefault="00000000">
      <w:pPr>
        <w:spacing w:after="160"/>
        <w:jc w:val="center"/>
      </w:pPr>
      <w:r w:rsidRPr="007C2843">
        <w:rPr>
          <w:b/>
          <w:bCs/>
          <w:sz w:val="22"/>
          <w:szCs w:val="22"/>
        </w:rPr>
        <w:t>Institut de Genomique Fonctionnelle de Lyon (IGFL)</w:t>
      </w:r>
    </w:p>
    <w:p w:rsidR="00E12B20" w:rsidRPr="007C2843" w:rsidRDefault="00000000">
      <w:pPr>
        <w:spacing w:after="500"/>
        <w:jc w:val="center"/>
      </w:pPr>
      <w:r w:rsidRPr="007C2843">
        <w:rPr>
          <w:sz w:val="22"/>
          <w:szCs w:val="22"/>
        </w:rPr>
        <w:t>Ecole Normale Superieure de Lyon — CNRS UMR 5242, Lyon, France</w:t>
      </w:r>
    </w:p>
    <w:p w:rsidR="00E12B20" w:rsidRPr="007C2843" w:rsidRDefault="00000000">
      <w:pPr>
        <w:spacing w:after="160"/>
        <w:jc w:val="center"/>
      </w:pPr>
      <w:r w:rsidRPr="007C2843">
        <w:rPr>
          <w:sz w:val="22"/>
          <w:szCs w:val="22"/>
        </w:rPr>
        <w:t>Internship supervisor:</w:t>
      </w:r>
    </w:p>
    <w:p w:rsidR="00E12B20" w:rsidRPr="007C2843" w:rsidRDefault="00000000">
      <w:pPr>
        <w:spacing w:after="160"/>
        <w:jc w:val="center"/>
      </w:pPr>
      <w:r w:rsidRPr="007C2843">
        <w:rPr>
          <w:b/>
          <w:bCs/>
          <w:sz w:val="22"/>
          <w:szCs w:val="22"/>
        </w:rPr>
        <w:t>Dr. Kiran Padmanabhan</w:t>
      </w:r>
    </w:p>
    <w:p w:rsidR="00E12B20" w:rsidRPr="007C2843" w:rsidRDefault="00000000">
      <w:pPr>
        <w:spacing w:after="500"/>
        <w:jc w:val="center"/>
      </w:pPr>
      <w:r w:rsidRPr="007C2843">
        <w:rPr>
          <w:sz w:val="22"/>
          <w:szCs w:val="22"/>
        </w:rPr>
        <w:t>Research Director and Group Leader, IGFL / Directeur de Recherche, INSERM</w:t>
      </w:r>
    </w:p>
    <w:p w:rsidR="00E12B20" w:rsidRPr="007C2843" w:rsidRDefault="00000000">
      <w:pPr>
        <w:spacing w:after="160"/>
        <w:jc w:val="center"/>
      </w:pPr>
      <w:r w:rsidRPr="007C2843">
        <w:rPr>
          <w:sz w:val="22"/>
          <w:szCs w:val="22"/>
        </w:rPr>
        <w:t>Academic tutor:</w:t>
      </w:r>
    </w:p>
    <w:p w:rsidR="00E12B20" w:rsidRPr="007C2843" w:rsidRDefault="00000000">
      <w:pPr>
        <w:spacing w:after="160"/>
        <w:jc w:val="center"/>
      </w:pPr>
      <w:r w:rsidRPr="007C2843">
        <w:rPr>
          <w:b/>
          <w:bCs/>
          <w:sz w:val="22"/>
          <w:szCs w:val="22"/>
        </w:rPr>
        <w:t>M. Alexandre Meyer</w:t>
      </w:r>
    </w:p>
    <w:p w:rsidR="00E12B20" w:rsidRPr="007C2843" w:rsidRDefault="00000000">
      <w:pPr>
        <w:spacing w:after="700"/>
        <w:jc w:val="center"/>
      </w:pPr>
      <w:r w:rsidRPr="007C2843">
        <w:rPr>
          <w:sz w:val="22"/>
          <w:szCs w:val="22"/>
        </w:rPr>
        <w:t>Universite Claude Bernard Lyon 1</w:t>
      </w:r>
    </w:p>
    <w:p w:rsidR="00E12B20" w:rsidRPr="007C2843" w:rsidRDefault="00000000">
      <w:pPr>
        <w:spacing w:after="160"/>
        <w:jc w:val="center"/>
      </w:pPr>
      <w:r w:rsidRPr="007C2843">
        <w:rPr>
          <w:color w:val="555555"/>
          <w:sz w:val="22"/>
          <w:szCs w:val="22"/>
        </w:rPr>
        <w:t>Academic year 2025-2026</w:t>
      </w:r>
    </w:p>
    <w:p w:rsidR="00E12B20" w:rsidRPr="007C2843" w:rsidRDefault="00000000">
      <w:r w:rsidRPr="007C2843">
        <w:br w:type="page"/>
      </w:r>
    </w:p>
    <w:p w:rsidR="00E12B20" w:rsidRPr="007C2843" w:rsidRDefault="00000000">
      <w:pPr>
        <w:pStyle w:val="Heading1"/>
      </w:pPr>
      <w:r w:rsidRPr="007C2843">
        <w:lastRenderedPageBreak/>
        <w:t>1. Introduction</w:t>
      </w:r>
    </w:p>
    <w:p w:rsidR="00E12B20" w:rsidRPr="007C2843" w:rsidRDefault="00000000">
      <w:pPr>
        <w:spacing w:after="200"/>
        <w:jc w:val="both"/>
      </w:pPr>
      <w:r w:rsidRPr="007C2843">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E12B20" w:rsidRPr="007C2843" w:rsidRDefault="00000000">
      <w:pPr>
        <w:spacing w:after="200"/>
        <w:jc w:val="both"/>
      </w:pPr>
      <w:r w:rsidRPr="007C2843">
        <w:t>DNA is the blueprint of life: a sequence of four chemical letters that every living cell reads, copies, and interprets to produce the proteins that carry out its functions. Between the blueprint and the final product lies a critical intermediate molecule called RNA, and it is at this step that a remarkable layer of complexity emerges. The same gene can give rise to multiple distinct RNA molecules, each leading to a different protein with a different function. The mechanism behind this is called alternative splicing, and understanding which version of a gene product is made, when, and in response to what, is one of the central questions of modern biology.</w:t>
      </w:r>
    </w:p>
    <w:p w:rsidR="00E12B20" w:rsidRPr="007C2843" w:rsidRDefault="00000000">
      <w:pPr>
        <w:spacing w:after="200"/>
        <w:jc w:val="both"/>
      </w:pPr>
      <w:r w:rsidRPr="007C2843">
        <w:t xml:space="preserve">This question is especially relevant in the context of circadian biology. The liver operates on a precise 24-hour internal clock, and research from the IGFL laboratory has shown that this clock actively shapes not just which genes are expressed, but how their RNA is processed, including which splice variants are produced at each time of day. Disruption of the clock, through knockout of the </w:t>
      </w:r>
      <w:r w:rsidRPr="007C2843">
        <w:rPr>
          <w:i/>
          <w:iCs/>
        </w:rPr>
        <w:t>Per1</w:t>
      </w:r>
      <w:r w:rsidRPr="007C2843">
        <w:t xml:space="preserve"> and </w:t>
      </w:r>
      <w:r w:rsidRPr="007C2843">
        <w:rPr>
          <w:i/>
          <w:iCs/>
        </w:rPr>
        <w:t>Per2</w:t>
      </w:r>
      <w:r w:rsidRPr="007C2843">
        <w:t xml:space="preserve"> genes, affects splicing more severely than it affects overall gene expression (Chikhaoui, Mamgain et al., unpublished). Understanding this regulation has broader implications: disrupted splicing is associated with cancer, metabolic disorders, and neurological disease (Gehring and Roignant, 2021), making it a key area of biological research.</w:t>
      </w:r>
    </w:p>
    <w:p w:rsidR="00E12B20" w:rsidRPr="007C2843" w:rsidRDefault="00000000">
      <w:pPr>
        <w:spacing w:after="200"/>
        <w:jc w:val="both"/>
      </w:pPr>
      <w:r w:rsidRPr="007C2843">
        <w:t>The internship is structured around two sequential projects. The first project explores the effect of a key SUPPA2 parameter (the splice site boundary mode) on the detected alternative splicing events, tracing how a single upstream choice propagates through the full pipeline and shapes the final output.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E12B20" w:rsidRPr="007C2843" w:rsidRDefault="00000000">
      <w:pPr>
        <w:pStyle w:val="Heading1"/>
      </w:pPr>
      <w:r w:rsidRPr="007C2843">
        <w:t>2. Host Institution and Research Team</w:t>
      </w:r>
    </w:p>
    <w:p w:rsidR="00E12B20" w:rsidRPr="007C2843" w:rsidRDefault="00000000">
      <w:pPr>
        <w:pStyle w:val="Heading2"/>
      </w:pPr>
      <w:r w:rsidRPr="007C2843">
        <w:t>2.1 Institut de Genomique Fonctionnelle de Lyon (IGFL)</w:t>
      </w:r>
    </w:p>
    <w:p w:rsidR="00E12B20" w:rsidRPr="007C2843" w:rsidRDefault="00000000">
      <w:pPr>
        <w:spacing w:after="200"/>
        <w:jc w:val="both"/>
      </w:pPr>
      <w:r w:rsidRPr="007C2843">
        <w:t>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E12B20" w:rsidRPr="007C2843" w:rsidRDefault="00000000">
      <w:pPr>
        <w:spacing w:after="200"/>
        <w:jc w:val="both"/>
      </w:pPr>
      <w:r w:rsidRPr="007C2843">
        <w:t>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rsidR="007C2843" w:rsidRPr="007C2843" w:rsidRDefault="007C2843">
      <w:pPr>
        <w:spacing w:after="200"/>
        <w:jc w:val="both"/>
      </w:pPr>
    </w:p>
    <w:p w:rsidR="00E12B20" w:rsidRPr="007C2843" w:rsidRDefault="00000000">
      <w:pPr>
        <w:pStyle w:val="Heading2"/>
      </w:pPr>
      <w:r w:rsidRPr="007C2843">
        <w:lastRenderedPageBreak/>
        <w:t>2.2 The Padmanabhan Research Group</w:t>
      </w:r>
    </w:p>
    <w:p w:rsidR="00E12B20" w:rsidRPr="007C2843" w:rsidRDefault="00000000">
      <w:pPr>
        <w:spacing w:after="200"/>
        <w:jc w:val="both"/>
      </w:pPr>
      <w:r w:rsidRPr="007C2843">
        <w:t>The internship was carried out within the research group led by Dr. Kiran Padmanabhan (Research Director and Group Leader at IGFL). The group studies how the circadian clock, the internal 24-hour timer present in most cells, controls gene activity in the liver. A key focus is the relationship between the clock and RNA processing: not just which genes are turned on or off, but which version of a transcript (an alternative version of the same RNA molecule, also called an isoform) is produced and how the clock shapes that choice over time. This includes the study of alternative splicing, chromatin organization (the compact structure of DNA and proteins in the cell nucleus), and the role of specific regulatory factors in connecting the two.</w:t>
      </w:r>
    </w:p>
    <w:p w:rsidR="00E207CD" w:rsidRPr="007C2843" w:rsidRDefault="00000000">
      <w:pPr>
        <w:spacing w:after="200"/>
        <w:jc w:val="both"/>
        <w:rPr>
          <w:lang w:val="en-US"/>
        </w:rPr>
      </w:pPr>
      <w:r w:rsidRPr="007C2843">
        <w:t xml:space="preserve">The RNA-seq data used in this project was generated from samples prepared by the Padmanabhan lab at IGFL and sequenced in collaboration with Prof. Yutaka Suzuki's group at the University of Tokyo, using Oxford Nanopore direct RNA sequencing. Wild-type (WT)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sidRPr="007C2843">
        <w:rPr>
          <w:i/>
          <w:iCs/>
        </w:rPr>
        <w:t>Per1</w:t>
      </w:r>
      <w:r w:rsidRPr="007C2843">
        <w:t xml:space="preserve"> and </w:t>
      </w:r>
      <w:r w:rsidRPr="007C2843">
        <w:rPr>
          <w:i/>
          <w:iCs/>
        </w:rPr>
        <w:t>Per2</w:t>
      </w:r>
      <w:r w:rsidRPr="007C2843">
        <w:t xml:space="preserve"> (PerDKO), which have no functional circadian clock, were also kept in constant darkness and sampled at CT8 and CT20. This setup gives three conditions to compare computationally: WT at CT8, WT at CT20, and PerDKO at CT20.</w:t>
      </w:r>
      <w:r w:rsidR="00E207CD" w:rsidRPr="007C2843">
        <w:rPr>
          <w:lang w:val="en-US"/>
        </w:rPr>
        <w:t>Mice</w:t>
      </w:r>
    </w:p>
    <w:p w:rsidR="00E12B20" w:rsidRPr="007C2843" w:rsidRDefault="00000000">
      <w:pPr>
        <w:spacing w:after="200"/>
        <w:jc w:val="both"/>
      </w:pPr>
      <w:r w:rsidRPr="007C2843">
        <w:t>The IGFL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rsidR="00E12B20" w:rsidRPr="007C2843" w:rsidRDefault="00000000">
      <w:pPr>
        <w:pStyle w:val="Heading2"/>
      </w:pPr>
      <w:r w:rsidRPr="007C2843">
        <w:t>2.3 Team and Working Environment</w:t>
      </w:r>
    </w:p>
    <w:p w:rsidR="00E12B20" w:rsidRPr="007C2843" w:rsidRDefault="00000000">
      <w:pPr>
        <w:spacing w:after="200"/>
        <w:jc w:val="both"/>
      </w:pPr>
      <w:r w:rsidRPr="007C2843">
        <w:t>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Blanco, a lab member working on the experimental side of the project.</w:t>
      </w:r>
    </w:p>
    <w:p w:rsidR="00E12B20" w:rsidRPr="007C2843" w:rsidRDefault="00000000">
      <w:pPr>
        <w:spacing w:after="200"/>
        <w:jc w:val="both"/>
      </w:pPr>
      <w:r w:rsidRPr="007C2843">
        <w:t>For Project 2, the RNA-seq data comes from a publicly available dataset on NCBI GEO (accession GSE171975), generated by the Asher lab (Aviram et al., 2021) from mouse liver samples at CT20, covering both WT and PerDKO conditions. The computational work was carried out on a laboratory-provided Mac workstation, using Bash and Python, with version control managed through GitHub.</w:t>
      </w:r>
    </w:p>
    <w:p w:rsidR="00E12B20" w:rsidRPr="007C2843" w:rsidRDefault="00000000">
      <w:pPr>
        <w:pStyle w:val="Heading1"/>
      </w:pPr>
      <w:r w:rsidRPr="007C2843">
        <w:t>3. Scientific and Technical Background</w:t>
      </w:r>
    </w:p>
    <w:p w:rsidR="00E12B20" w:rsidRPr="007C2843" w:rsidRDefault="00000000">
      <w:pPr>
        <w:pStyle w:val="Heading2"/>
      </w:pPr>
      <w:r w:rsidRPr="007C2843">
        <w:t>3.1 From gene to isoform: the central dogma and alternative splicing</w:t>
      </w:r>
    </w:p>
    <w:p w:rsidR="002C2609" w:rsidRPr="007C2843" w:rsidRDefault="00000000" w:rsidP="002C2609">
      <w:pPr>
        <w:spacing w:after="200"/>
        <w:jc w:val="both"/>
      </w:pPr>
      <w:r w:rsidRPr="007C2843">
        <w:t xml:space="preserve">To understand the computational work carried out in this internship, it helps to have a basic picture of how genetic information flows in a cell. A gene is a region of DNA that </w:t>
      </w:r>
      <w:r w:rsidRPr="007C2843">
        <w:lastRenderedPageBreak/>
        <w:t>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process called splicing, producing a mature messenger RNA (mRNA). The mRNA is then translated into a protein.</w:t>
      </w:r>
    </w:p>
    <w:p w:rsidR="002C2609" w:rsidRPr="007C2843" w:rsidRDefault="002C2609" w:rsidP="002C2609">
      <w:pPr>
        <w:keepNext/>
        <w:spacing w:after="200"/>
        <w:jc w:val="center"/>
      </w:pPr>
      <w:r w:rsidRPr="007C2843">
        <w:rPr>
          <w:noProof/>
        </w:rPr>
        <w:drawing>
          <wp:inline distT="0" distB="0" distL="0" distR="0">
            <wp:extent cx="4819773" cy="1865630"/>
            <wp:effectExtent l="0" t="0" r="6350" b="1270"/>
            <wp:docPr id="166023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3378" name="Picture 1660233378"/>
                    <pic:cNvPicPr/>
                  </pic:nvPicPr>
                  <pic:blipFill rotWithShape="1">
                    <a:blip r:embed="rId9" cstate="print">
                      <a:extLst>
                        <a:ext uri="{28A0092B-C50C-407E-A947-70E740481C1C}">
                          <a14:useLocalDpi xmlns:a14="http://schemas.microsoft.com/office/drawing/2010/main" val="0"/>
                        </a:ext>
                      </a:extLst>
                    </a:blip>
                    <a:srcRect r="15907"/>
                    <a:stretch/>
                  </pic:blipFill>
                  <pic:spPr bwMode="auto">
                    <a:xfrm>
                      <a:off x="0" y="0"/>
                      <a:ext cx="4819773" cy="1865630"/>
                    </a:xfrm>
                    <a:prstGeom prst="rect">
                      <a:avLst/>
                    </a:prstGeom>
                    <a:ln>
                      <a:noFill/>
                    </a:ln>
                    <a:extLst>
                      <a:ext uri="{53640926-AAD7-44D8-BBD7-CCE9431645EC}">
                        <a14:shadowObscured xmlns:a14="http://schemas.microsoft.com/office/drawing/2010/main"/>
                      </a:ext>
                    </a:extLst>
                  </pic:spPr>
                </pic:pic>
              </a:graphicData>
            </a:graphic>
          </wp:inline>
        </w:drawing>
      </w:r>
    </w:p>
    <w:p w:rsidR="00E12B20" w:rsidRPr="007C2843" w:rsidRDefault="00000000">
      <w:pPr>
        <w:spacing w:after="200"/>
        <w:jc w:val="center"/>
      </w:pPr>
      <w:r w:rsidRPr="007C2843">
        <w:rPr>
          <w:i/>
          <w:iCs/>
          <w:color w:val="555555"/>
          <w:sz w:val="20"/>
          <w:szCs w:val="20"/>
        </w:rPr>
        <w:t>Figure 1. Central dogma of molecular biology. A = DNA (gene), B = pre-mRNA, C = mature mRNA isoform, D = protein. One gene can produce multiple isoforms via alternative splicing.</w:t>
      </w:r>
    </w:p>
    <w:p w:rsidR="00E12B20" w:rsidRPr="007C2843" w:rsidRDefault="00000000">
      <w:pPr>
        <w:spacing w:after="200"/>
        <w:jc w:val="both"/>
      </w:pPr>
      <w:r w:rsidRPr="007C2843">
        <w:t>What makes this process particularly interesting from a computational standpoint is that the splicing step is not always identical. Different combinations of exons can be joined, producing distinct transcript isoforms from the same gene. This is called alternative splicing (AS). Of all human genes, only 5% consist of a single exon, and more than 90% are alternatively spliced (Gehring and Roignant, 2021), making it one of the main mechanisms by which a compact genome can generate a large diversity of functional products.</w:t>
      </w:r>
    </w:p>
    <w:p w:rsidR="00E12B20" w:rsidRPr="007C2843" w:rsidRDefault="00000000">
      <w:pPr>
        <w:spacing w:after="200"/>
        <w:jc w:val="both"/>
      </w:pPr>
      <w:r w:rsidRPr="007C2843">
        <w:t>SUPPA2 detects and quantifies seven types of alternative splicing events (Trincado et al., 2018):</w:t>
      </w:r>
    </w:p>
    <w:p w:rsidR="002C2609" w:rsidRPr="007C2843" w:rsidRDefault="002C2609">
      <w:pPr>
        <w:spacing w:after="200"/>
        <w:jc w:val="center"/>
        <w:rPr>
          <w:i/>
          <w:iCs/>
          <w:color w:val="888888"/>
          <w:sz w:val="22"/>
          <w:szCs w:val="22"/>
        </w:rPr>
      </w:pPr>
      <w:r w:rsidRPr="007C2843">
        <w:rPr>
          <w:i/>
          <w:iCs/>
          <w:noProof/>
          <w:color w:val="888888"/>
          <w:sz w:val="22"/>
          <w:szCs w:val="22"/>
        </w:rPr>
        <w:drawing>
          <wp:inline distT="0" distB="0" distL="0" distR="0">
            <wp:extent cx="3492708" cy="2120158"/>
            <wp:effectExtent l="0" t="0" r="0" b="1270"/>
            <wp:docPr id="204956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6863" name="Picture 2049566863"/>
                    <pic:cNvPicPr/>
                  </pic:nvPicPr>
                  <pic:blipFill>
                    <a:blip r:embed="rId10">
                      <a:extLst>
                        <a:ext uri="{28A0092B-C50C-407E-A947-70E740481C1C}">
                          <a14:useLocalDpi xmlns:a14="http://schemas.microsoft.com/office/drawing/2010/main" val="0"/>
                        </a:ext>
                      </a:extLst>
                    </a:blip>
                    <a:stretch>
                      <a:fillRect/>
                    </a:stretch>
                  </pic:blipFill>
                  <pic:spPr>
                    <a:xfrm>
                      <a:off x="0" y="0"/>
                      <a:ext cx="3579700" cy="2172964"/>
                    </a:xfrm>
                    <a:prstGeom prst="rect">
                      <a:avLst/>
                    </a:prstGeom>
                  </pic:spPr>
                </pic:pic>
              </a:graphicData>
            </a:graphic>
          </wp:inline>
        </w:drawing>
      </w:r>
    </w:p>
    <w:p w:rsidR="00E12B20" w:rsidRPr="007C2843" w:rsidRDefault="00000000">
      <w:pPr>
        <w:spacing w:after="200"/>
        <w:jc w:val="center"/>
      </w:pPr>
      <w:r w:rsidRPr="007C2843">
        <w:rPr>
          <w:i/>
          <w:iCs/>
          <w:color w:val="555555"/>
          <w:sz w:val="20"/>
          <w:szCs w:val="20"/>
        </w:rPr>
        <w:t>Figure 2. The seven alternative splicing event types defined by SUPPA2. Adapted from Trincado et al., 2018 / SUPPA2 GitHub repository (github.com/comprna/SUPPA).</w:t>
      </w:r>
    </w:p>
    <w:p w:rsidR="00E12B20" w:rsidRPr="007C2843" w:rsidRDefault="00000000">
      <w:pPr>
        <w:spacing w:before="60" w:after="60"/>
        <w:jc w:val="both"/>
        <w:rPr>
          <w:sz w:val="20"/>
          <w:szCs w:val="20"/>
        </w:rPr>
      </w:pPr>
      <w:r w:rsidRPr="007C2843">
        <w:rPr>
          <w:b/>
          <w:bCs/>
          <w:sz w:val="20"/>
          <w:szCs w:val="20"/>
        </w:rPr>
        <w:t>SE (skipped exon)</w:t>
      </w:r>
      <w:r w:rsidRPr="007C2843">
        <w:rPr>
          <w:sz w:val="20"/>
          <w:szCs w:val="20"/>
        </w:rPr>
        <w:t>: an exon is present in one isoform and absent in the other.</w:t>
      </w:r>
    </w:p>
    <w:p w:rsidR="00E12B20" w:rsidRPr="007C2843" w:rsidRDefault="00000000">
      <w:pPr>
        <w:spacing w:before="60" w:after="60"/>
        <w:jc w:val="both"/>
        <w:rPr>
          <w:sz w:val="20"/>
          <w:szCs w:val="20"/>
        </w:rPr>
      </w:pPr>
      <w:r w:rsidRPr="007C2843">
        <w:rPr>
          <w:b/>
          <w:bCs/>
          <w:sz w:val="20"/>
          <w:szCs w:val="20"/>
        </w:rPr>
        <w:t>RI (retained intron)</w:t>
      </w:r>
      <w:r w:rsidRPr="007C2843">
        <w:rPr>
          <w:sz w:val="20"/>
          <w:szCs w:val="20"/>
        </w:rPr>
        <w:t>: an intron that is normally removed stays in the mature mRNA.</w:t>
      </w:r>
    </w:p>
    <w:p w:rsidR="00E12B20" w:rsidRPr="007C2843" w:rsidRDefault="00000000">
      <w:pPr>
        <w:spacing w:before="60" w:after="60"/>
        <w:jc w:val="both"/>
        <w:rPr>
          <w:sz w:val="20"/>
          <w:szCs w:val="20"/>
        </w:rPr>
      </w:pPr>
      <w:r w:rsidRPr="007C2843">
        <w:rPr>
          <w:b/>
          <w:bCs/>
          <w:sz w:val="20"/>
          <w:szCs w:val="20"/>
        </w:rPr>
        <w:t>A3 (alternative 3' splice site)</w:t>
      </w:r>
      <w:r w:rsidRPr="007C2843">
        <w:rPr>
          <w:sz w:val="20"/>
          <w:szCs w:val="20"/>
        </w:rPr>
        <w:t>: the 3' boundary of an intron is shifted, producing a longer or shorter exon.</w:t>
      </w:r>
    </w:p>
    <w:p w:rsidR="00E12B20" w:rsidRPr="007C2843" w:rsidRDefault="00000000">
      <w:pPr>
        <w:spacing w:before="60" w:after="60"/>
        <w:jc w:val="both"/>
        <w:rPr>
          <w:sz w:val="20"/>
          <w:szCs w:val="20"/>
        </w:rPr>
      </w:pPr>
      <w:r w:rsidRPr="007C2843">
        <w:rPr>
          <w:b/>
          <w:bCs/>
          <w:sz w:val="20"/>
          <w:szCs w:val="20"/>
        </w:rPr>
        <w:lastRenderedPageBreak/>
        <w:t>A5 (alternative 5' splice site)</w:t>
      </w:r>
      <w:r w:rsidRPr="007C2843">
        <w:rPr>
          <w:sz w:val="20"/>
          <w:szCs w:val="20"/>
        </w:rPr>
        <w:t>: same as A3 but at the 5' end of the intron.</w:t>
      </w:r>
    </w:p>
    <w:p w:rsidR="00E12B20" w:rsidRPr="007C2843" w:rsidRDefault="00000000">
      <w:pPr>
        <w:spacing w:before="60" w:after="60"/>
        <w:jc w:val="both"/>
        <w:rPr>
          <w:sz w:val="20"/>
          <w:szCs w:val="20"/>
        </w:rPr>
      </w:pPr>
      <w:r w:rsidRPr="007C2843">
        <w:rPr>
          <w:b/>
          <w:bCs/>
          <w:sz w:val="20"/>
          <w:szCs w:val="20"/>
        </w:rPr>
        <w:t>MX (mutually exclusive exons)</w:t>
      </w:r>
      <w:r w:rsidRPr="007C2843">
        <w:rPr>
          <w:sz w:val="20"/>
          <w:szCs w:val="20"/>
        </w:rPr>
        <w:t>: two exons exist, but only one appears per isoform.</w:t>
      </w:r>
    </w:p>
    <w:p w:rsidR="00E12B20" w:rsidRPr="007C2843" w:rsidRDefault="00000000">
      <w:pPr>
        <w:spacing w:before="60" w:after="60"/>
        <w:jc w:val="both"/>
        <w:rPr>
          <w:sz w:val="20"/>
          <w:szCs w:val="20"/>
        </w:rPr>
      </w:pPr>
      <w:r w:rsidRPr="007C2843">
        <w:rPr>
          <w:b/>
          <w:bCs/>
          <w:sz w:val="20"/>
          <w:szCs w:val="20"/>
        </w:rPr>
        <w:t>AF (alternative first exon)</w:t>
      </w:r>
      <w:r w:rsidRPr="007C2843">
        <w:rPr>
          <w:sz w:val="20"/>
          <w:szCs w:val="20"/>
        </w:rPr>
        <w:t>: the first exon differs between isoforms.</w:t>
      </w:r>
    </w:p>
    <w:p w:rsidR="00E12B20" w:rsidRPr="007C2843" w:rsidRDefault="00000000">
      <w:pPr>
        <w:spacing w:after="200"/>
        <w:jc w:val="both"/>
        <w:rPr>
          <w:sz w:val="20"/>
          <w:szCs w:val="20"/>
        </w:rPr>
      </w:pPr>
      <w:r w:rsidRPr="007C2843">
        <w:rPr>
          <w:b/>
          <w:bCs/>
          <w:sz w:val="20"/>
          <w:szCs w:val="20"/>
        </w:rPr>
        <w:t>AL (alternative last exon)</w:t>
      </w:r>
      <w:r w:rsidRPr="007C2843">
        <w:rPr>
          <w:sz w:val="20"/>
          <w:szCs w:val="20"/>
        </w:rPr>
        <w:t>: the last exon differs between isoforms.</w:t>
      </w:r>
    </w:p>
    <w:p w:rsidR="00E12B20" w:rsidRPr="007C2843" w:rsidRDefault="00000000">
      <w:pPr>
        <w:spacing w:after="200"/>
        <w:jc w:val="both"/>
      </w:pPr>
      <w:r w:rsidRPr="007C2843">
        <w:t>In this project, the analysis focused on three of these seven types: A3, A5, and RI. These are the event types most sensitive to the boundary parameter explored in Project 1. SE, MX, AF and AL were also detected but showed no sensitivity to the boundary parameter change.</w:t>
      </w:r>
    </w:p>
    <w:p w:rsidR="00E12B20" w:rsidRPr="007C2843" w:rsidRDefault="00000000">
      <w:pPr>
        <w:spacing w:after="200"/>
        <w:jc w:val="both"/>
      </w:pPr>
      <w:r w:rsidRPr="007C2843">
        <w:t>The quantification of how often each isoform is produced is captured by the PSI (Percent Spliced In) metric. PSI is a value between 0 and 1 representing the proportion of transcripts at a given locus (the specific genomic location of a gene or event)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rsidR="00E12B20" w:rsidRPr="007C2843" w:rsidRDefault="00000000">
      <w:pPr>
        <w:pStyle w:val="Heading2"/>
      </w:pPr>
      <w:r w:rsidRPr="007C2843">
        <w:t>3.2 Circadian context: why alternative splicing matters here</w:t>
      </w:r>
    </w:p>
    <w:p w:rsidR="00E12B20" w:rsidRPr="007C2843" w:rsidRDefault="00000000">
      <w:pPr>
        <w:spacing w:after="200"/>
        <w:jc w:val="both"/>
      </w:pPr>
      <w:r w:rsidRPr="007C2843">
        <w:t xml:space="preserve">The circadian clock is a molecular feedback loop present in most cells of the body. In the liver, it coordinates gene expression over a 24-hour cycle, regulating metabolism, detoxification, and other functions. Importantly, the clock controls not just transcription but the entire RNA lifecycle, including which splice variants are produced at each time of day. Splicing factors are themselves proteins under circadian control, meaning the clock actively determines which isoforms get made and when. Research from the IGFL group showed that the proteins encoded by the </w:t>
      </w:r>
      <w:r w:rsidRPr="007C2843">
        <w:rPr>
          <w:i/>
          <w:iCs/>
        </w:rPr>
        <w:t>Per1</w:t>
      </w:r>
      <w:r w:rsidRPr="007C2843">
        <w:t xml:space="preserve"> and </w:t>
      </w:r>
      <w:r w:rsidRPr="007C2843">
        <w:rPr>
          <w:i/>
          <w:iCs/>
        </w:rPr>
        <w:t>Per2</w:t>
      </w:r>
      <w:r w:rsidRPr="007C2843">
        <w:t xml:space="preserve"> clock genes influence how splicing regulatory factors are recruited to chromatin. When these proteins are knocked out (PerDKO mice), the splicing landscape of the liver is significantly altered, with PerDKO livers exhibiting nearly threefold more mis-spliced than mis-expressed transcripts (Chikhaoui, Mamgain et al., unpublished).</w:t>
      </w:r>
    </w:p>
    <w:p w:rsidR="00E12B20" w:rsidRPr="007C2843" w:rsidRDefault="00000000">
      <w:pPr>
        <w:spacing w:after="200"/>
        <w:jc w:val="both"/>
      </w:pPr>
      <w:r w:rsidRPr="007C2843">
        <w:t>Understanding this regulation has direct relevance beyond the model organism. Disrupted splicing is increasingly recognized as a driver of disease: spliceosome mutations are found in certain cancers, circadian disruption in the liver is associated with metabolic disorders and elevated cancer risk, and splicing defects underlie neurological conditions such as spinal muscular atrophy (Gehring and Roignant, 2021). The IGFL group's work on how the clock shapes splicing therefore sits at the intersection of circadian biology, RNA biology, and human health.</w:t>
      </w:r>
    </w:p>
    <w:p w:rsidR="00E12B20" w:rsidRPr="007C2843" w:rsidRDefault="00000000">
      <w:pPr>
        <w:pStyle w:val="Heading2"/>
      </w:pPr>
      <w:r w:rsidRPr="007C2843">
        <w:t>3.3 Two sequencing technologies: Nanopore and Illumina</w:t>
      </w:r>
    </w:p>
    <w:p w:rsidR="00E12B20" w:rsidRPr="007C2843" w:rsidRDefault="00000000" w:rsidP="007F738F">
      <w:pPr>
        <w:spacing w:after="200"/>
        <w:jc w:val="both"/>
      </w:pPr>
      <w:r w:rsidRPr="007C2843">
        <w:t>Both projects involve RNA-seq data (RNA sequencing data, measuring which RNA molecules are present in a sample and in what quantities), but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3450"/>
        <w:gridCol w:w="3488"/>
      </w:tblGrid>
      <w:tr w:rsidR="00E12B20" w:rsidRPr="007C2843">
        <w:tblPrEx>
          <w:tblCellMar>
            <w:top w:w="0" w:type="dxa"/>
            <w:bottom w:w="0" w:type="dxa"/>
          </w:tblCellMar>
        </w:tblPrEx>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sidRPr="007C2843">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sidRPr="007C2843">
              <w:rPr>
                <w:b/>
                <w:bCs/>
                <w:color w:val="FFFFFF"/>
                <w:sz w:val="20"/>
                <w:szCs w:val="20"/>
              </w:rPr>
              <w:t>Illumina (short-read)</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~150 nt</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Output</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Short fragments</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Inferred from fragments</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lastRenderedPageBreak/>
              <w:t>Sequencing depth</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Higher</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Error rate</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Lower</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Orthogonal validation (Project 2)</w:t>
            </w:r>
          </w:p>
        </w:tc>
      </w:tr>
    </w:tbl>
    <w:p w:rsidR="00E12B20" w:rsidRPr="007C4ABF" w:rsidRDefault="007C4ABF" w:rsidP="007C2843">
      <w:pPr>
        <w:spacing w:before="100" w:after="100"/>
        <w:jc w:val="center"/>
        <w:rPr>
          <w:lang w:val="en-US"/>
        </w:rPr>
      </w:pPr>
      <w:r w:rsidRPr="007C4ABF">
        <w:rPr>
          <w:i/>
          <w:iCs/>
          <w:color w:val="555555"/>
          <w:sz w:val="20"/>
          <w:szCs w:val="20"/>
        </w:rPr>
        <w:t>Table 1. Comparison of Nanopore long-read and Illumina short-read RNA-seq</w:t>
      </w:r>
      <w:r>
        <w:rPr>
          <w:i/>
          <w:iCs/>
          <w:color w:val="555555"/>
          <w:sz w:val="20"/>
          <w:szCs w:val="20"/>
          <w:lang w:val="en-US"/>
        </w:rPr>
        <w:t>.</w:t>
      </w:r>
    </w:p>
    <w:p w:rsidR="007C4ABF" w:rsidRDefault="007C4ABF" w:rsidP="007C2843">
      <w:pPr>
        <w:spacing w:before="100" w:after="100"/>
        <w:jc w:val="center"/>
      </w:pPr>
    </w:p>
    <w:p w:rsidR="007C4ABF" w:rsidRPr="007C2843" w:rsidRDefault="00BC3375" w:rsidP="007C2843">
      <w:pPr>
        <w:spacing w:before="100" w:after="100"/>
        <w:jc w:val="center"/>
      </w:pPr>
      <w:r w:rsidRPr="007C2843">
        <w:rPr>
          <w:noProof/>
        </w:rPr>
        <w:drawing>
          <wp:inline distT="0" distB="0" distL="0" distR="0" wp14:anchorId="49B8B074" wp14:editId="4D561D98">
            <wp:extent cx="5731510" cy="3569335"/>
            <wp:effectExtent l="0" t="0" r="0" b="0"/>
            <wp:docPr id="131150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05786" name="Picture 13115057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69335"/>
                    </a:xfrm>
                    <a:prstGeom prst="rect">
                      <a:avLst/>
                    </a:prstGeom>
                  </pic:spPr>
                </pic:pic>
              </a:graphicData>
            </a:graphic>
          </wp:inline>
        </w:drawing>
      </w:r>
    </w:p>
    <w:p w:rsidR="00E207CD" w:rsidRPr="007C2843" w:rsidRDefault="00E207CD" w:rsidP="00E207CD">
      <w:pPr>
        <w:spacing w:after="200"/>
        <w:jc w:val="center"/>
      </w:pPr>
      <w:r w:rsidRPr="007C2843">
        <w:rPr>
          <w:i/>
          <w:iCs/>
          <w:color w:val="555555"/>
          <w:sz w:val="20"/>
          <w:szCs w:val="20"/>
        </w:rPr>
        <w:t xml:space="preserve">Figure </w:t>
      </w:r>
      <w:r w:rsidR="007C4ABF">
        <w:rPr>
          <w:i/>
          <w:iCs/>
          <w:color w:val="555555"/>
          <w:sz w:val="20"/>
          <w:szCs w:val="20"/>
          <w:lang w:val="en-US"/>
        </w:rPr>
        <w:t>3</w:t>
      </w:r>
      <w:r w:rsidRPr="007C2843">
        <w:rPr>
          <w:i/>
          <w:iCs/>
          <w:color w:val="555555"/>
          <w:sz w:val="20"/>
          <w:szCs w:val="20"/>
        </w:rPr>
        <w:t>. Illumina short-read sequencing requires computational assembly of fragments, introducing ambiguity. Nanopore long-read sequencing reads full-length molecules directly, enabling unambiguous isoform identification.</w:t>
      </w:r>
    </w:p>
    <w:p w:rsidR="00E12B20" w:rsidRPr="007C2843" w:rsidRDefault="00000000">
      <w:pPr>
        <w:spacing w:after="200"/>
        <w:jc w:val="both"/>
      </w:pPr>
      <w:r w:rsidRPr="007C2843">
        <w:t>Nanopore long-read sequencing reads entire RNA molecules from end to end, producing reads that can span thousands of nucleotides. This makes it possible to directly observe which exons are present in a single transcript without having to reconstruct isoforms from short fragments. Benchmarking studies have shown that long-read data improves read-to-transcript assignment and transcript-level abundance estimation compared to short reads, particularly for genes with many similar isoforms (Chen et al., 2021).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E12B20" w:rsidRPr="007C2843" w:rsidRDefault="00000000">
      <w:pPr>
        <w:spacing w:after="200"/>
        <w:jc w:val="both"/>
      </w:pPr>
      <w:r w:rsidRPr="007C2843">
        <w:t>Early applications of Nanopore sequencing to mouse liver transcriptomics were limited to relatively low read numbers, around 500,000 reads (Sessegolo et al., 2019). The dataset used in this project, generated by the Padmanabhan lab in collaboration with the University of Tokyo, contains approximately 70 million reads (Chikhaoui, Mamgain et al., unpublished), representing a substantial increase in depth that enables a more comprehensive view of the splicing landscape.</w:t>
      </w:r>
    </w:p>
    <w:p w:rsidR="00E12B20" w:rsidRPr="007C2843" w:rsidRDefault="00000000">
      <w:pPr>
        <w:spacing w:after="200"/>
        <w:jc w:val="both"/>
      </w:pPr>
      <w:r w:rsidRPr="007C2843">
        <w:lastRenderedPageBreak/>
        <w:t>The key point for this project is that both platforms are measuring the same biological phenomenon from different angles. If the splicing events detected from Nanopore data are also detectable in independent Illumina data from a comparable experiment, that is strong evidence that the findings reflect real biology rather than technical artifacts of the sequencing method.</w:t>
      </w:r>
    </w:p>
    <w:p w:rsidR="00E12B20" w:rsidRPr="007C2843" w:rsidRDefault="00000000">
      <w:pPr>
        <w:pStyle w:val="Heading2"/>
      </w:pPr>
      <w:r w:rsidRPr="007C2843">
        <w:t>3.4 Key tools</w:t>
      </w:r>
    </w:p>
    <w:p w:rsidR="00E12B20" w:rsidRPr="007C2843" w:rsidRDefault="00000000">
      <w:pPr>
        <w:spacing w:after="200"/>
        <w:jc w:val="both"/>
      </w:pPr>
      <w:r w:rsidRPr="007C2843">
        <w:rPr>
          <w:b/>
          <w:bCs/>
        </w:rPr>
        <w:t>SUPPA2</w:t>
      </w:r>
      <w:r w:rsidRPr="007C2843">
        <w:t xml:space="preserve"> is the main splicing analysis tool used in both projects (Trincado et al., 2018). It was chosen because it is already established in the IGFL laboratory's workflow (Chikhaoui, Mamgain et al., unpublished) and is specifically designed for transcript-level splicing quantification. Given a reference transcriptome annotation (a GTF file), SUPPA2 first catalogs all possible alternative splicing events, then computes PSI values from transcript expression estimates, and finally runs a statistical test ("diffSplice") to identify events significantly different between conditions. The reference annotation used is a custom GTF derived from the laboratory's Nanopore data, built on the mouse genome assembly GRCm39 (mm39), containing annotated and novel isoforms discovered by the lab (Chikhaoui, Mamgain et al., unpublished).</w:t>
      </w:r>
    </w:p>
    <w:p w:rsidR="00E12B20" w:rsidRPr="007C2843" w:rsidRDefault="00000000">
      <w:pPr>
        <w:spacing w:after="200"/>
        <w:jc w:val="both"/>
      </w:pPr>
      <w:r w:rsidRPr="007C2843">
        <w:rPr>
          <w:b/>
          <w:bCs/>
        </w:rPr>
        <w:t>Salmon</w:t>
      </w:r>
      <w:r w:rsidRPr="007C2843">
        <w:t xml:space="preserve"> is a transcript quantification tool (Patro et al., 2017) that estimates how much each transcript is expressed in TPM (Transcripts Per Million) from RNA-seq reads and a reference transcriptome. It uses a lightweight alignment approach that is very fast compared to traditional aligners. Its output feeds directly into SUPPA2 for PSI computation.</w:t>
      </w:r>
    </w:p>
    <w:p w:rsidR="00E12B20" w:rsidRPr="007C2843" w:rsidRDefault="00000000">
      <w:pPr>
        <w:spacing w:after="200"/>
        <w:jc w:val="both"/>
      </w:pPr>
      <w:r w:rsidRPr="007C2843">
        <w:rPr>
          <w:b/>
          <w:bCs/>
        </w:rPr>
        <w:t>IGV (Integrative Genomics Viewer)</w:t>
      </w:r>
      <w:r w:rsidRPr="007C2843">
        <w:t xml:space="preserve"> is a genome browser (Robinson et al., 2011) used to visually inspect splicing events at specific loci (the specific genomic location of a gene or event). After identifying candidate events computationally, IGV was used to verify that the transcript structures detected by SUPPA2 were consistent with the underlying read data.</w:t>
      </w:r>
    </w:p>
    <w:p w:rsidR="00E12B20" w:rsidRPr="007C2843" w:rsidRDefault="00000000">
      <w:pPr>
        <w:spacing w:after="200"/>
        <w:jc w:val="both"/>
      </w:pPr>
      <w:r w:rsidRPr="007C2843">
        <w:rPr>
          <w:b/>
          <w:bCs/>
        </w:rPr>
        <w:t>Bash</w:t>
      </w:r>
      <w:r w:rsidRPr="007C2843">
        <w:t xml:space="preserve"> was used for all pipeline automation. It is the standard scripting language in bioinformatics for orchestrating multi-step tools on large data files, and is widely used in high-performance computing environments.</w:t>
      </w:r>
    </w:p>
    <w:p w:rsidR="00E12B20" w:rsidRPr="007C2843" w:rsidRDefault="00000000">
      <w:pPr>
        <w:spacing w:after="200"/>
        <w:jc w:val="both"/>
      </w:pPr>
      <w:r w:rsidRPr="007C2843">
        <w:rPr>
          <w:b/>
          <w:bCs/>
        </w:rPr>
        <w:t>Python</w:t>
      </w:r>
      <w:r w:rsidRPr="007C2843">
        <w:t xml:space="preserve"> was used for all data analysis and visualization, implemented in Jupyter notebooks. Bioinformatics commonly relies on R for statistical analysis, and coursework at UCBL included R extensively. Python was chosen here deliberately: it offered an opportunity to apply a language from the CS curriculum to a biological problem, and the pandas and matplotlib ecosystem is well suited to the tabular data formats produced by SUPPA2.</w:t>
      </w:r>
    </w:p>
    <w:p w:rsidR="00E12B20" w:rsidRPr="007C2843" w:rsidRDefault="00000000">
      <w:pPr>
        <w:pStyle w:val="Heading1"/>
      </w:pPr>
      <w:r w:rsidRPr="007C2843">
        <w:t>4. Computational Environment and Project Organization</w:t>
      </w:r>
    </w:p>
    <w:p w:rsidR="00E12B20" w:rsidRPr="007C2843" w:rsidRDefault="00000000">
      <w:pPr>
        <w:pStyle w:val="Heading2"/>
      </w:pPr>
      <w:r w:rsidRPr="007C2843">
        <w:t>4.1 Software and tools</w:t>
      </w:r>
    </w:p>
    <w:p w:rsidR="00E12B20" w:rsidRPr="007C2843" w:rsidRDefault="00000000">
      <w:pPr>
        <w:spacing w:after="200"/>
        <w:jc w:val="both"/>
      </w:pPr>
      <w:r w:rsidRPr="007C2843">
        <w:t>The table below summarizes the main tools and languages used throughout the internship.</w:t>
      </w:r>
    </w:p>
    <w:p w:rsidR="00E12B20" w:rsidRPr="007C2843" w:rsidRDefault="00E12B20">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1958"/>
        <w:gridCol w:w="5289"/>
      </w:tblGrid>
      <w:tr w:rsidR="00E12B20" w:rsidRPr="007C2843">
        <w:tblPrEx>
          <w:tblCellMar>
            <w:top w:w="0" w:type="dxa"/>
            <w:bottom w:w="0" w:type="dxa"/>
          </w:tblCellMar>
        </w:tblPrEx>
        <w:tc>
          <w:tcPr>
            <w:tcW w:w="0" w:type="auto"/>
            <w:shd w:val="clear" w:color="auto" w:fill="2E75B6"/>
            <w:tcMar>
              <w:top w:w="80" w:type="dxa"/>
              <w:left w:w="120" w:type="dxa"/>
              <w:bottom w:w="80" w:type="dxa"/>
              <w:right w:w="120" w:type="dxa"/>
            </w:tcMar>
          </w:tcPr>
          <w:p w:rsidR="00E12B20" w:rsidRPr="007C2843" w:rsidRDefault="00000000">
            <w:r w:rsidRPr="007C2843">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sidRPr="007C2843">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sidRPr="007C2843">
              <w:rPr>
                <w:b/>
                <w:bCs/>
                <w:color w:val="FFFFFF"/>
                <w:sz w:val="20"/>
                <w:szCs w:val="20"/>
              </w:rPr>
              <w:t>Role in the project</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lastRenderedPageBreak/>
              <w:t>SUPPA2</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Alternative splicing event detection and PSI quantification</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Transcript expression quantification (TPM)</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IGV</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Genome browser for visual inspection of splicing events</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Data analysis, filtering, and figure generation</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Tabular data manipulation</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Figure generation</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Venn diagram visualizations</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Pipeline automation and file processing</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Version control and code repository (griceyrt/Internship)</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Development environment for notebooks and scripts</w:t>
            </w:r>
          </w:p>
        </w:tc>
      </w:tr>
      <w:tr w:rsidR="00E12B20" w:rsidRPr="007C2843">
        <w:tblPrEx>
          <w:tblCellMar>
            <w:top w:w="0" w:type="dxa"/>
            <w:bottom w:w="0" w:type="dxa"/>
          </w:tblCellMar>
        </w:tblPrEx>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sidRPr="007C2843">
              <w:rPr>
                <w:color w:val="000000"/>
                <w:sz w:val="20"/>
                <w:szCs w:val="20"/>
              </w:rPr>
              <w:t>Lab notebook, biology glossary, daily logs</w:t>
            </w:r>
          </w:p>
        </w:tc>
      </w:tr>
    </w:tbl>
    <w:p w:rsidR="00E12B20" w:rsidRPr="007C2843" w:rsidRDefault="00BC3375" w:rsidP="00BC3375">
      <w:pPr>
        <w:spacing w:before="100" w:after="100"/>
        <w:jc w:val="center"/>
      </w:pPr>
      <w:r w:rsidRPr="00BC3375">
        <w:rPr>
          <w:i/>
          <w:iCs/>
          <w:color w:val="555555"/>
          <w:sz w:val="20"/>
          <w:szCs w:val="20"/>
        </w:rPr>
        <w:t>Table 2. Software and tools used in the internship.</w:t>
      </w:r>
    </w:p>
    <w:p w:rsidR="00E12B20" w:rsidRPr="007C2843" w:rsidRDefault="00000000">
      <w:pPr>
        <w:spacing w:after="200"/>
        <w:jc w:val="both"/>
      </w:pPr>
      <w:r w:rsidRPr="007C2843">
        <w:t>All bioinformatics tools (SUPPA2, Salmon) were run inside a dedicated Python virtual environment called suppa_env (Python 3.8.20), created at the start of the internship to ensure reproducibility and avoid dependency conflicts. The analysis code was developed in VSCode using the same environment as the execution kernel.</w:t>
      </w:r>
    </w:p>
    <w:p w:rsidR="00E12B20" w:rsidRPr="007C2843" w:rsidRDefault="00000000">
      <w:pPr>
        <w:pStyle w:val="Heading2"/>
      </w:pPr>
      <w:r w:rsidRPr="007C2843">
        <w:t>4.2 Repository structure</w:t>
      </w:r>
    </w:p>
    <w:p w:rsidR="00AF04E5" w:rsidRDefault="00AF04E5" w:rsidP="007C2843">
      <w:pPr>
        <w:jc w:val="both"/>
      </w:pPr>
      <w:r w:rsidRPr="007C2843">
        <w:rPr>
          <w:lang w:val="en-US"/>
        </w:rPr>
        <w:t>A</w:t>
      </w:r>
      <w:r w:rsidRPr="007C2843">
        <w:t xml:space="preserve">ll code produced during the internship is tracked in a public GitHub repository (griceyrt/Internship). The repository is organized into two main project folders, a shared report folder, and the SUPPA2 tool directory. Figure </w:t>
      </w:r>
      <w:r w:rsidR="000D2CA7">
        <w:rPr>
          <w:lang w:val="en-US"/>
        </w:rPr>
        <w:t>4</w:t>
      </w:r>
      <w:r w:rsidRPr="007C2843">
        <w:t xml:space="preserve"> shows the full structure.</w:t>
      </w:r>
      <w:r w:rsidRPr="007C2843">
        <w:t xml:space="preserve"> </w:t>
      </w:r>
    </w:p>
    <w:p w:rsidR="000D2CA7" w:rsidRPr="007C2843" w:rsidRDefault="000D2CA7" w:rsidP="007C2843">
      <w:pPr>
        <w:jc w:val="both"/>
      </w:pPr>
    </w:p>
    <w:p w:rsidR="00AF04E5" w:rsidRPr="007C2843" w:rsidRDefault="00AF04E5" w:rsidP="00AF04E5">
      <w:pPr>
        <w:jc w:val="center"/>
      </w:pPr>
      <w:r w:rsidRPr="007C2843">
        <w:rPr>
          <w:noProof/>
        </w:rPr>
        <w:drawing>
          <wp:inline distT="0" distB="0" distL="0" distR="0">
            <wp:extent cx="3977640" cy="2287172"/>
            <wp:effectExtent l="0" t="0" r="0" b="0"/>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12" cstate="print">
                      <a:extLst>
                        <a:ext uri="{28A0092B-C50C-407E-A947-70E740481C1C}">
                          <a14:useLocalDpi xmlns:a14="http://schemas.microsoft.com/office/drawing/2010/main" val="0"/>
                        </a:ext>
                      </a:extLst>
                    </a:blip>
                    <a:srcRect t="1610"/>
                    <a:stretch/>
                  </pic:blipFill>
                  <pic:spPr bwMode="auto">
                    <a:xfrm>
                      <a:off x="0" y="0"/>
                      <a:ext cx="3999200" cy="2299569"/>
                    </a:xfrm>
                    <a:prstGeom prst="rect">
                      <a:avLst/>
                    </a:prstGeom>
                    <a:ln>
                      <a:noFill/>
                    </a:ln>
                    <a:extLst>
                      <a:ext uri="{53640926-AAD7-44D8-BBD7-CCE9431645EC}">
                        <a14:shadowObscured xmlns:a14="http://schemas.microsoft.com/office/drawing/2010/main"/>
                      </a:ext>
                    </a:extLst>
                  </pic:spPr>
                </pic:pic>
              </a:graphicData>
            </a:graphic>
          </wp:inline>
        </w:drawing>
      </w:r>
    </w:p>
    <w:p w:rsidR="00AF04E5" w:rsidRPr="007C2843" w:rsidRDefault="00AF04E5" w:rsidP="00AF04E5">
      <w:pPr>
        <w:spacing w:after="200"/>
        <w:jc w:val="center"/>
      </w:pPr>
      <w:r w:rsidRPr="007C2843">
        <w:rPr>
          <w:i/>
          <w:iCs/>
          <w:color w:val="555555"/>
          <w:sz w:val="20"/>
          <w:szCs w:val="20"/>
        </w:rPr>
        <w:t xml:space="preserve">Figure </w:t>
      </w:r>
      <w:r w:rsidR="007C4ABF">
        <w:rPr>
          <w:i/>
          <w:iCs/>
          <w:color w:val="555555"/>
          <w:sz w:val="20"/>
          <w:szCs w:val="20"/>
          <w:lang w:val="en-US"/>
        </w:rPr>
        <w:t>4</w:t>
      </w:r>
      <w:r w:rsidRPr="007C2843">
        <w:rPr>
          <w:i/>
          <w:iCs/>
          <w:color w:val="555555"/>
          <w:sz w:val="20"/>
          <w:szCs w:val="20"/>
        </w:rPr>
        <w:t>. Repository structure of the internship codebase (griceyrt/Internship, GitHub).</w:t>
      </w:r>
    </w:p>
    <w:p w:rsidR="00AF04E5" w:rsidRPr="007C2843" w:rsidRDefault="00AF04E5" w:rsidP="007C2843">
      <w:pPr>
        <w:jc w:val="both"/>
      </w:pPr>
      <w:r w:rsidRPr="007C2843">
        <w:t>Raw data and large biological files are excluded from version control via a .gitignore file, keeping the repository lightweight and focused on code.</w:t>
      </w:r>
    </w:p>
    <w:p w:rsidR="00E12B20" w:rsidRPr="007C2843" w:rsidRDefault="00000000">
      <w:pPr>
        <w:pStyle w:val="Heading2"/>
      </w:pPr>
      <w:r w:rsidRPr="007C2843">
        <w:t>4.3 Workflow overview</w:t>
      </w:r>
    </w:p>
    <w:p w:rsidR="00E12B20" w:rsidRPr="007C2843" w:rsidRDefault="00000000">
      <w:pPr>
        <w:spacing w:after="200"/>
        <w:jc w:val="both"/>
      </w:pPr>
      <w:r w:rsidRPr="007C2843">
        <w:lastRenderedPageBreak/>
        <w:t>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manually to inspect candidate events, verify transcript structures, and produce screenshots for reporting.</w:t>
      </w:r>
    </w:p>
    <w:p w:rsidR="00E12B20" w:rsidRPr="007C2843" w:rsidRDefault="00000000">
      <w:pPr>
        <w:spacing w:after="200"/>
        <w:jc w:val="both"/>
      </w:pPr>
      <w:r w:rsidRPr="007C2843">
        <w:t>This separation between pipeline execution (Bash) and analysis (Python) kept the workflow modular and easy to debug. Each stage produces clearly named output files that serve as inputs to the next, making the full pipeline traceable from raw TPM files to final figures.</w:t>
      </w:r>
    </w:p>
    <w:p w:rsidR="00E12B20" w:rsidRPr="007C2843" w:rsidRDefault="00000000">
      <w:pPr>
        <w:pStyle w:val="Heading1"/>
      </w:pPr>
      <w:r w:rsidRPr="007C2843">
        <w:t>5. Project 1: Exploring the Effect of the SUPPA2 Boundary Parameter</w:t>
      </w:r>
    </w:p>
    <w:p w:rsidR="00E12B20" w:rsidRPr="007C2843" w:rsidRDefault="00000000">
      <w:pPr>
        <w:pStyle w:val="Heading2"/>
      </w:pPr>
      <w:r w:rsidRPr="007C2843">
        <w:t>5.1 Context and objective</w:t>
      </w:r>
    </w:p>
    <w:p w:rsidR="00E12B20" w:rsidRPr="007C2843" w:rsidRDefault="00000000">
      <w:pPr>
        <w:spacing w:after="200"/>
        <w:jc w:val="both"/>
      </w:pPr>
      <w:r w:rsidRPr="007C2843">
        <w:t>SUPPA2's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 nucleotides is allowed on either side, meaning that events with splice sites slightly offset from the annotation are still detected.</w:t>
      </w:r>
    </w:p>
    <w:p w:rsidR="00E12B20" w:rsidRPr="007C2843" w:rsidRDefault="00000000">
      <w:pPr>
        <w:spacing w:after="200"/>
        <w:jc w:val="both"/>
      </w:pPr>
      <w:r w:rsidRPr="007C2843">
        <w:t xml:space="preserve">The question explored in this project is: what happens when you change this parameter? Specifically, does relaxing the boundary at the very beginning of the pipeline, before any read counts or statistical tests are involved, lead to a meaningfully different set of detected events downstream? </w:t>
      </w:r>
    </w:p>
    <w:p w:rsidR="00E12B20" w:rsidRPr="007C2843" w:rsidRDefault="00000000">
      <w:pPr>
        <w:pStyle w:val="Heading2"/>
      </w:pPr>
      <w:r w:rsidRPr="007C2843">
        <w:t>5.2 Data and pipeline setup</w:t>
      </w:r>
    </w:p>
    <w:p w:rsidR="00C80A95" w:rsidRDefault="007C2843" w:rsidP="007C2843">
      <w:pPr>
        <w:jc w:val="both"/>
      </w:pPr>
      <w:r w:rsidRPr="007C2843">
        <w:t>The analysis used 9 samples from the laboratory's Nanopore RNA-seq dataset, covering three conditions with 3 biological replicates each (Table 1). The reference annotation used was transcriptome_productivity.gtf, the laboratory's custom GTF file built on GRCm39 (mm39). Transcript expression values (TPM) were pre-computed with Salmon by Khushi and provided as input.</w:t>
      </w:r>
    </w:p>
    <w:p w:rsidR="00C80A95" w:rsidRPr="00C80A95" w:rsidRDefault="00C80A95" w:rsidP="007C2843">
      <w:pPr>
        <w:jc w:val="both"/>
        <w:rPr>
          <w:sz w:val="2"/>
          <w:szCs w:val="2"/>
        </w:rPr>
      </w:pPr>
    </w:p>
    <w:p w:rsidR="007C2843" w:rsidRDefault="007C2843" w:rsidP="007C2843">
      <w:pPr>
        <w:jc w:val="both"/>
        <w:rPr>
          <w:sz w:val="6"/>
          <w:szCs w:val="6"/>
        </w:rPr>
      </w:pPr>
    </w:p>
    <w:p w:rsidR="00C80A95" w:rsidRPr="00C80A95" w:rsidRDefault="00C80A95" w:rsidP="007C2843">
      <w:pPr>
        <w:jc w:val="both"/>
        <w:rPr>
          <w:sz w:val="6"/>
          <w:szCs w:val="6"/>
        </w:rPr>
      </w:pPr>
    </w:p>
    <w:p w:rsidR="00BC3375" w:rsidRDefault="007C2843" w:rsidP="00BC3375">
      <w:pPr>
        <w:spacing w:after="200"/>
        <w:jc w:val="center"/>
      </w:pPr>
      <w:r w:rsidRPr="007C2843">
        <w:rPr>
          <w:noProof/>
        </w:rPr>
        <w:drawing>
          <wp:inline distT="0" distB="0" distL="0" distR="0">
            <wp:extent cx="4092420" cy="903134"/>
            <wp:effectExtent l="0" t="0" r="0" b="0"/>
            <wp:docPr id="1319414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14392" name="Picture 1319414392"/>
                    <pic:cNvPicPr/>
                  </pic:nvPicPr>
                  <pic:blipFill rotWithShape="1">
                    <a:blip r:embed="rId13">
                      <a:extLst>
                        <a:ext uri="{28A0092B-C50C-407E-A947-70E740481C1C}">
                          <a14:useLocalDpi xmlns:a14="http://schemas.microsoft.com/office/drawing/2010/main" val="0"/>
                        </a:ext>
                      </a:extLst>
                    </a:blip>
                    <a:srcRect t="23286" b="24730"/>
                    <a:stretch/>
                  </pic:blipFill>
                  <pic:spPr bwMode="auto">
                    <a:xfrm>
                      <a:off x="0" y="0"/>
                      <a:ext cx="4359687" cy="962116"/>
                    </a:xfrm>
                    <a:prstGeom prst="rect">
                      <a:avLst/>
                    </a:prstGeom>
                    <a:ln>
                      <a:noFill/>
                    </a:ln>
                    <a:extLst>
                      <a:ext uri="{53640926-AAD7-44D8-BBD7-CCE9431645EC}">
                        <a14:shadowObscured xmlns:a14="http://schemas.microsoft.com/office/drawing/2010/main"/>
                      </a:ext>
                    </a:extLst>
                  </pic:spPr>
                </pic:pic>
              </a:graphicData>
            </a:graphic>
          </wp:inline>
        </w:drawing>
      </w:r>
    </w:p>
    <w:p w:rsidR="00BC3375" w:rsidRPr="00BC3375" w:rsidRDefault="00BC3375" w:rsidP="00BC3375">
      <w:pPr>
        <w:spacing w:after="200"/>
        <w:jc w:val="center"/>
      </w:pPr>
      <w:r w:rsidRPr="00BC3375">
        <w:rPr>
          <w:i/>
          <w:iCs/>
          <w:color w:val="555555"/>
          <w:sz w:val="20"/>
          <w:szCs w:val="20"/>
        </w:rPr>
        <w:t>Table 3. The 9 Nanopore RNA-seq samples used in Project 1.</w:t>
      </w:r>
    </w:p>
    <w:p w:rsidR="00BC3375" w:rsidRDefault="00BC3375" w:rsidP="007C2843">
      <w:pPr>
        <w:jc w:val="both"/>
        <w:rPr>
          <w:i/>
          <w:iCs/>
          <w:color w:val="555555"/>
          <w:sz w:val="20"/>
          <w:szCs w:val="20"/>
        </w:rPr>
      </w:pPr>
    </w:p>
    <w:p w:rsidR="007C2843" w:rsidRPr="007C2843" w:rsidRDefault="007C2843" w:rsidP="007C2843">
      <w:pPr>
        <w:jc w:val="both"/>
        <w:rPr>
          <w:b/>
          <w:bCs/>
        </w:rPr>
      </w:pPr>
      <w:r w:rsidRPr="007C2843">
        <w:t xml:space="preserve">The pipeline follows the approach established in the manuscript: "generateEvents" identifies events from the rebuilt transcriptome, PSI values are computed from batch-corrected expression values using "psiPerEvent", and "diffSplice" identifies differential splicing with events at p &lt; 0.05 and dPSI &gt; 0.1 considered significant (Chikhaoui, </w:t>
      </w:r>
      <w:r w:rsidRPr="007C2843">
        <w:lastRenderedPageBreak/>
        <w:t>Mamgain et al., unpublished). "generateEvents" was run six times: once in strict mode, and five times in variable mode with tolerances of 1, 3, 5, 10, and 20 nucleotides, automated through run_suppa.sh.</w:t>
      </w:r>
    </w:p>
    <w:p w:rsidR="00E12B20" w:rsidRPr="007C2843" w:rsidRDefault="00000000">
      <w:pPr>
        <w:pStyle w:val="Heading2"/>
      </w:pPr>
      <w:r w:rsidRPr="007C2843">
        <w:t>5.3 Results</w:t>
      </w:r>
    </w:p>
    <w:p w:rsidR="00E12B20" w:rsidRPr="007C2843" w:rsidRDefault="00000000">
      <w:pPr>
        <w:pStyle w:val="Heading3"/>
      </w:pPr>
      <w:r w:rsidRPr="007C2843">
        <w:t>5.3.1 Variable mode detects substantially more events</w:t>
      </w:r>
    </w:p>
    <w:p w:rsidR="00E12B20" w:rsidRPr="007C2843" w:rsidRDefault="00000000">
      <w:pPr>
        <w:spacing w:after="200"/>
        <w:jc w:val="both"/>
      </w:pPr>
      <w:r w:rsidRPr="007C2843">
        <w:t>Switching from strict to variable 1nt mode substantially increases the number of detected events for A3, A5, and RI. SE, MX, AF and AL counts remain identical across all boundary modes, confirming that the change is specific to events defined by a splice site boundary.</w:t>
      </w:r>
    </w:p>
    <w:p w:rsidR="007C2843" w:rsidRPr="007C2843" w:rsidRDefault="007C2843" w:rsidP="007C2843">
      <w:pPr>
        <w:spacing w:after="200"/>
        <w:jc w:val="center"/>
      </w:pPr>
      <w:r w:rsidRPr="007C2843">
        <w:rPr>
          <w:noProof/>
        </w:rPr>
        <w:drawing>
          <wp:inline distT="0" distB="0" distL="0" distR="0">
            <wp:extent cx="2878667" cy="2405744"/>
            <wp:effectExtent l="0" t="0" r="4445" b="0"/>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0491" cy="2423983"/>
                    </a:xfrm>
                    <a:prstGeom prst="rect">
                      <a:avLst/>
                    </a:prstGeom>
                  </pic:spPr>
                </pic:pic>
              </a:graphicData>
            </a:graphic>
          </wp:inline>
        </w:drawing>
      </w:r>
    </w:p>
    <w:p w:rsidR="00E12B20" w:rsidRPr="007C2843" w:rsidRDefault="00000000">
      <w:pPr>
        <w:spacing w:after="200"/>
        <w:jc w:val="center"/>
      </w:pPr>
      <w:r w:rsidRPr="007C2843">
        <w:rPr>
          <w:i/>
          <w:iCs/>
          <w:color w:val="555555"/>
          <w:sz w:val="20"/>
          <w:szCs w:val="20"/>
        </w:rPr>
        <w:t xml:space="preserve">Figure </w:t>
      </w:r>
      <w:r w:rsidR="00BC3375">
        <w:rPr>
          <w:i/>
          <w:iCs/>
          <w:color w:val="555555"/>
          <w:sz w:val="20"/>
          <w:szCs w:val="20"/>
          <w:lang w:val="en-US"/>
        </w:rPr>
        <w:t>5</w:t>
      </w:r>
      <w:r w:rsidRPr="007C2843">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rsidRPr="007C2843">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sidRPr="007C2843">
        <w:rPr>
          <w:noProof/>
        </w:rPr>
        <w:drawing>
          <wp:inline distT="0" distB="0" distL="0" distR="0">
            <wp:extent cx="4157871" cy="2194560"/>
            <wp:effectExtent l="0" t="0" r="0" b="254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9456" cy="2200675"/>
                    </a:xfrm>
                    <a:prstGeom prst="rect">
                      <a:avLst/>
                    </a:prstGeom>
                  </pic:spPr>
                </pic:pic>
              </a:graphicData>
            </a:graphic>
          </wp:inline>
        </w:drawing>
      </w:r>
    </w:p>
    <w:p w:rsidR="00E12B20" w:rsidRPr="007C2843" w:rsidRDefault="00000000">
      <w:pPr>
        <w:spacing w:after="200"/>
        <w:jc w:val="center"/>
      </w:pPr>
      <w:r w:rsidRPr="007C2843">
        <w:rPr>
          <w:i/>
          <w:iCs/>
          <w:color w:val="555555"/>
          <w:sz w:val="20"/>
          <w:szCs w:val="20"/>
        </w:rPr>
        <w:t xml:space="preserve">Figure </w:t>
      </w:r>
      <w:r w:rsidR="00BC3375">
        <w:rPr>
          <w:i/>
          <w:iCs/>
          <w:color w:val="555555"/>
          <w:sz w:val="20"/>
          <w:szCs w:val="20"/>
          <w:lang w:val="en-US"/>
        </w:rPr>
        <w:t>6</w:t>
      </w:r>
      <w:r w:rsidRPr="007C2843">
        <w:rPr>
          <w:i/>
          <w:iCs/>
          <w:color w:val="555555"/>
          <w:sz w:val="20"/>
          <w:szCs w:val="20"/>
        </w:rPr>
        <w:t>. Event counts across all six boundary modes (strict, 1nt, 3nt, 5nt, 10nt, 20nt). Counts plateau after 1nt for A3, A5, and RI.</w:t>
      </w:r>
    </w:p>
    <w:p w:rsidR="00E12B20" w:rsidRPr="007C2843" w:rsidRDefault="00000000">
      <w:pPr>
        <w:pStyle w:val="Heading3"/>
      </w:pPr>
      <w:r w:rsidRPr="007C2843">
        <w:t>5.3.2 Variable mode is a superset of strict mode</w:t>
      </w:r>
    </w:p>
    <w:p w:rsidR="00E12B20" w:rsidRPr="007C2843" w:rsidRDefault="00000000">
      <w:pPr>
        <w:spacing w:after="200"/>
        <w:jc w:val="both"/>
      </w:pPr>
      <w:r w:rsidRPr="007C2843">
        <w:lastRenderedPageBreak/>
        <w:t>Events detected by strict mode were compared to those detected by variable 1nt mode. This required a coordinate reformatting step, as strict and variable modes use different internal representations for the same event types. A strand-aware reformatting function was implemented in Python to make the IDs comparable.</w:t>
      </w:r>
    </w:p>
    <w:p w:rsidR="00E12B20" w:rsidRDefault="00000000">
      <w:pPr>
        <w:spacing w:after="200"/>
        <w:jc w:val="both"/>
      </w:pPr>
      <w:r w:rsidRPr="007C2843">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p>
    <w:p w:rsidR="0039033E" w:rsidRPr="007C2843" w:rsidRDefault="0039033E">
      <w:pPr>
        <w:spacing w:after="200"/>
        <w:jc w:val="both"/>
      </w:pPr>
      <w:r>
        <w:rPr>
          <w:noProof/>
        </w:rPr>
        <w:drawing>
          <wp:inline distT="0" distB="0" distL="0" distR="0">
            <wp:extent cx="5731510" cy="2099733"/>
            <wp:effectExtent l="0" t="0" r="0" b="0"/>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6" cstate="print">
                      <a:extLst>
                        <a:ext uri="{28A0092B-C50C-407E-A947-70E740481C1C}">
                          <a14:useLocalDpi xmlns:a14="http://schemas.microsoft.com/office/drawing/2010/main" val="0"/>
                        </a:ext>
                      </a:extLst>
                    </a:blip>
                    <a:srcRect b="15344"/>
                    <a:stretch/>
                  </pic:blipFill>
                  <pic:spPr bwMode="auto">
                    <a:xfrm>
                      <a:off x="0" y="0"/>
                      <a:ext cx="5731510" cy="2099733"/>
                    </a:xfrm>
                    <a:prstGeom prst="rect">
                      <a:avLst/>
                    </a:prstGeom>
                    <a:ln>
                      <a:noFill/>
                    </a:ln>
                    <a:extLst>
                      <a:ext uri="{53640926-AAD7-44D8-BBD7-CCE9431645EC}">
                        <a14:shadowObscured xmlns:a14="http://schemas.microsoft.com/office/drawing/2010/main"/>
                      </a:ext>
                    </a:extLst>
                  </pic:spPr>
                </pic:pic>
              </a:graphicData>
            </a:graphic>
          </wp:inline>
        </w:drawing>
      </w:r>
    </w:p>
    <w:p w:rsidR="00E12B20" w:rsidRPr="007C2843" w:rsidRDefault="00000000">
      <w:pPr>
        <w:spacing w:after="200"/>
        <w:jc w:val="center"/>
      </w:pPr>
      <w:r w:rsidRPr="007C2843">
        <w:rPr>
          <w:i/>
          <w:iCs/>
          <w:color w:val="555555"/>
          <w:sz w:val="20"/>
          <w:szCs w:val="20"/>
        </w:rPr>
        <w:t xml:space="preserve">Figure </w:t>
      </w:r>
      <w:r w:rsidR="00BC3375">
        <w:rPr>
          <w:i/>
          <w:iCs/>
          <w:color w:val="555555"/>
          <w:sz w:val="20"/>
          <w:szCs w:val="20"/>
          <w:lang w:val="en-US"/>
        </w:rPr>
        <w:t>7</w:t>
      </w:r>
      <w:r w:rsidRPr="007C2843">
        <w:rPr>
          <w:i/>
          <w:iCs/>
          <w:color w:val="555555"/>
          <w:sz w:val="20"/>
          <w:szCs w:val="20"/>
        </w:rPr>
        <w:t>. Strict mode events (inner) are fully contained within variable 1nt mode events (outer), confirmed for A3, A5, and RI.</w:t>
      </w:r>
    </w:p>
    <w:p w:rsidR="00E12B20" w:rsidRPr="007C2843" w:rsidRDefault="00000000">
      <w:pPr>
        <w:pStyle w:val="Heading3"/>
      </w:pPr>
      <w:r w:rsidRPr="007C2843">
        <w:t>5.3.3 Gene-level perspective: novel genes and novel transcripts</w:t>
      </w:r>
    </w:p>
    <w:p w:rsidR="00E12B20" w:rsidRDefault="0055033B">
      <w:pPr>
        <w:spacing w:after="200"/>
        <w:jc w:val="both"/>
      </w:pPr>
      <w:r>
        <w:rPr>
          <w:lang w:val="en-US"/>
        </w:rPr>
        <w:t>V</w:t>
      </w:r>
      <w:r w:rsidRPr="0055033B">
        <w:t xml:space="preserve">ariable 1nt mode detects events in thousands of genes that strict mode misses entirely, with a subset involving novel UUID transcripts (see Figure </w:t>
      </w:r>
      <w:r>
        <w:rPr>
          <w:lang w:val="en-US"/>
        </w:rPr>
        <w:t>8</w:t>
      </w:r>
      <w:r w:rsidRPr="0055033B">
        <w:t>).</w:t>
      </w:r>
    </w:p>
    <w:p w:rsidR="0055033B" w:rsidRDefault="0055033B" w:rsidP="0055033B">
      <w:pPr>
        <w:spacing w:after="200"/>
        <w:jc w:val="center"/>
      </w:pPr>
      <w:r>
        <w:rPr>
          <w:noProof/>
        </w:rPr>
        <w:drawing>
          <wp:inline distT="0" distB="0" distL="0" distR="0">
            <wp:extent cx="3299513" cy="2470269"/>
            <wp:effectExtent l="0" t="0" r="0" b="0"/>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7" cstate="print">
                      <a:extLst>
                        <a:ext uri="{28A0092B-C50C-407E-A947-70E740481C1C}">
                          <a14:useLocalDpi xmlns:a14="http://schemas.microsoft.com/office/drawing/2010/main" val="0"/>
                        </a:ext>
                      </a:extLst>
                    </a:blip>
                    <a:srcRect l="11769" r="13100"/>
                    <a:stretch/>
                  </pic:blipFill>
                  <pic:spPr bwMode="auto">
                    <a:xfrm>
                      <a:off x="0" y="0"/>
                      <a:ext cx="3336266" cy="2497785"/>
                    </a:xfrm>
                    <a:prstGeom prst="rect">
                      <a:avLst/>
                    </a:prstGeom>
                    <a:ln>
                      <a:noFill/>
                    </a:ln>
                    <a:extLst>
                      <a:ext uri="{53640926-AAD7-44D8-BBD7-CCE9431645EC}">
                        <a14:shadowObscured xmlns:a14="http://schemas.microsoft.com/office/drawing/2010/main"/>
                      </a:ext>
                    </a:extLst>
                  </pic:spPr>
                </pic:pic>
              </a:graphicData>
            </a:graphic>
          </wp:inline>
        </w:drawing>
      </w:r>
    </w:p>
    <w:p w:rsidR="0055033B" w:rsidRDefault="0055033B" w:rsidP="0055033B">
      <w:pPr>
        <w:spacing w:after="200"/>
        <w:jc w:val="center"/>
      </w:pPr>
      <w:r w:rsidRPr="007C2843">
        <w:rPr>
          <w:i/>
          <w:iCs/>
          <w:color w:val="555555"/>
          <w:sz w:val="20"/>
          <w:szCs w:val="20"/>
        </w:rPr>
        <w:t xml:space="preserve">Figure </w:t>
      </w:r>
      <w:r>
        <w:rPr>
          <w:i/>
          <w:iCs/>
          <w:color w:val="555555"/>
          <w:sz w:val="20"/>
          <w:szCs w:val="20"/>
          <w:lang w:val="en-US"/>
        </w:rPr>
        <w:t>8</w:t>
      </w:r>
      <w:r w:rsidRPr="007C2843">
        <w:rPr>
          <w:i/>
          <w:iCs/>
          <w:color w:val="555555"/>
          <w:sz w:val="20"/>
          <w:szCs w:val="20"/>
        </w:rPr>
        <w:t xml:space="preserve">. </w:t>
      </w:r>
      <w:r w:rsidRPr="0055033B">
        <w:rPr>
          <w:i/>
          <w:iCs/>
          <w:color w:val="555555"/>
          <w:sz w:val="20"/>
          <w:szCs w:val="20"/>
        </w:rPr>
        <w:t>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55033B">
      <w:pPr>
        <w:spacing w:after="200"/>
        <w:jc w:val="right"/>
      </w:pPr>
      <w:r>
        <w:rPr>
          <w:noProof/>
        </w:rPr>
        <w:lastRenderedPageBreak/>
        <w:drawing>
          <wp:inline distT="0" distB="0" distL="0" distR="0">
            <wp:extent cx="5238719" cy="2668693"/>
            <wp:effectExtent l="0" t="0" r="0" b="0"/>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6167" cy="2677581"/>
                    </a:xfrm>
                    <a:prstGeom prst="rect">
                      <a:avLst/>
                    </a:prstGeom>
                  </pic:spPr>
                </pic:pic>
              </a:graphicData>
            </a:graphic>
          </wp:inline>
        </w:drawing>
      </w:r>
    </w:p>
    <w:p w:rsidR="00E12B20" w:rsidRPr="007C2843" w:rsidRDefault="00000000" w:rsidP="0039033E">
      <w:pPr>
        <w:spacing w:after="200"/>
        <w:jc w:val="center"/>
      </w:pPr>
      <w:r w:rsidRPr="007C2843">
        <w:rPr>
          <w:i/>
          <w:iCs/>
          <w:color w:val="555555"/>
          <w:sz w:val="20"/>
          <w:szCs w:val="20"/>
        </w:rPr>
        <w:t xml:space="preserve">Figure </w:t>
      </w:r>
      <w:r w:rsidR="0055033B">
        <w:rPr>
          <w:i/>
          <w:iCs/>
          <w:color w:val="555555"/>
          <w:sz w:val="20"/>
          <w:szCs w:val="20"/>
          <w:lang w:val="en-US"/>
        </w:rPr>
        <w:t>9</w:t>
      </w:r>
      <w:r w:rsidRPr="007C2843">
        <w:rPr>
          <w:i/>
          <w:iCs/>
          <w:color w:val="555555"/>
          <w:sz w:val="20"/>
          <w:szCs w:val="20"/>
        </w:rPr>
        <w:t xml:space="preserve">. </w:t>
      </w:r>
      <w:r w:rsidR="0055033B" w:rsidRPr="0055033B">
        <w:rPr>
          <w:i/>
          <w:iCs/>
          <w:color w:val="555555"/>
          <w:sz w:val="20"/>
          <w:szCs w:val="20"/>
        </w:rPr>
        <w:t>Gene counts per population (Q1–Q4) for A3, A5, and RI.</w:t>
      </w:r>
    </w:p>
    <w:p w:rsidR="00E12B20" w:rsidRPr="007C2843" w:rsidRDefault="00000000">
      <w:pPr>
        <w:pStyle w:val="Heading3"/>
      </w:pPr>
      <w:r w:rsidRPr="007C2843">
        <w:t>5.3.4 PSI values are consistent between modes for shared events</w:t>
      </w:r>
    </w:p>
    <w:p w:rsidR="00E12B20" w:rsidRDefault="00000000">
      <w:pPr>
        <w:spacing w:after="200"/>
        <w:jc w:val="both"/>
      </w:pPr>
      <w:r w:rsidRPr="007C2843">
        <w:t>For events detected by both modes, a density plot of the PSI difference (dPSI = PSI_strict minus PSI_variable) shows a sharp peak at zero for all three event types, with mean dPSI values between 0.025 and 0.034. Both modes agree on the quantification of events they share.</w:t>
      </w:r>
    </w:p>
    <w:p w:rsidR="0039033E" w:rsidRPr="007C2843" w:rsidRDefault="0039033E" w:rsidP="0039033E">
      <w:pPr>
        <w:spacing w:after="200"/>
        <w:jc w:val="center"/>
      </w:pPr>
      <w:r>
        <w:rPr>
          <w:noProof/>
        </w:rPr>
        <w:drawing>
          <wp:inline distT="0" distB="0" distL="0" distR="0">
            <wp:extent cx="5908431" cy="1631266"/>
            <wp:effectExtent l="0" t="0" r="0" b="0"/>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2824" cy="1646283"/>
                    </a:xfrm>
                    <a:prstGeom prst="rect">
                      <a:avLst/>
                    </a:prstGeom>
                  </pic:spPr>
                </pic:pic>
              </a:graphicData>
            </a:graphic>
          </wp:inline>
        </w:drawing>
      </w:r>
    </w:p>
    <w:p w:rsidR="00E12B20" w:rsidRPr="007C2843" w:rsidRDefault="00000000">
      <w:pPr>
        <w:spacing w:after="200"/>
        <w:jc w:val="center"/>
      </w:pPr>
      <w:r w:rsidRPr="007C2843">
        <w:rPr>
          <w:i/>
          <w:iCs/>
          <w:color w:val="555555"/>
          <w:sz w:val="20"/>
          <w:szCs w:val="20"/>
        </w:rPr>
        <w:t xml:space="preserve">Figure </w:t>
      </w:r>
      <w:r w:rsidR="00BC3375">
        <w:rPr>
          <w:i/>
          <w:iCs/>
          <w:color w:val="555555"/>
          <w:sz w:val="20"/>
          <w:szCs w:val="20"/>
          <w:lang w:val="en-US"/>
        </w:rPr>
        <w:t>9</w:t>
      </w:r>
      <w:r w:rsidRPr="007C2843">
        <w:rPr>
          <w:i/>
          <w:iCs/>
          <w:color w:val="555555"/>
          <w:sz w:val="20"/>
          <w:szCs w:val="20"/>
        </w:rPr>
        <w:t>. Density plot of PSI difference for events shared between strict and variable 1nt mode. The peak at zero confirms quantification consistency for shared events across A3, A5, and RI.</w:t>
      </w:r>
    </w:p>
    <w:p w:rsidR="00E12B20" w:rsidRPr="007C2843" w:rsidRDefault="00000000">
      <w:pPr>
        <w:pStyle w:val="Heading3"/>
      </w:pPr>
      <w:r w:rsidRPr="007C2843">
        <w:t>5.3.5 Significant differential splicing events</w:t>
      </w:r>
    </w:p>
    <w:p w:rsidR="00E12B20" w:rsidRPr="007C2843" w:rsidRDefault="00000000">
      <w:pPr>
        <w:spacing w:after="200"/>
        <w:jc w:val="both"/>
      </w:pPr>
      <w:r w:rsidRPr="007C2843">
        <w:t>After filtering (|dPSI| &gt; 0.1, p &lt; 0.05), strict mode yields 45 A3, 47 A5, and 13 RI significant events. Variable 1nt mode yields 73 A3, 76 A5, and 64 RI. Most strict significant events are also found in the variable significant set, confirming that variable mode is a superset at the level of statistically filtered results as well.</w:t>
      </w:r>
    </w:p>
    <w:p w:rsidR="00E12B20" w:rsidRPr="007C2843" w:rsidRDefault="00BC3375">
      <w:pPr>
        <w:spacing w:before="160" w:after="60"/>
        <w:jc w:val="center"/>
      </w:pPr>
      <w:r>
        <w:rPr>
          <w:i/>
          <w:iCs/>
          <w:noProof/>
          <w:color w:val="888888"/>
          <w:sz w:val="22"/>
          <w:szCs w:val="22"/>
        </w:rPr>
        <w:lastRenderedPageBreak/>
        <w:drawing>
          <wp:inline distT="0" distB="0" distL="0" distR="0">
            <wp:extent cx="5731510" cy="2235200"/>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235200"/>
                    </a:xfrm>
                    <a:prstGeom prst="rect">
                      <a:avLst/>
                    </a:prstGeom>
                  </pic:spPr>
                </pic:pic>
              </a:graphicData>
            </a:graphic>
          </wp:inline>
        </w:drawing>
      </w:r>
    </w:p>
    <w:p w:rsidR="00E12B20" w:rsidRPr="007C2843" w:rsidRDefault="00000000">
      <w:pPr>
        <w:spacing w:after="200"/>
        <w:jc w:val="center"/>
      </w:pPr>
      <w:r w:rsidRPr="007C2843">
        <w:rPr>
          <w:i/>
          <w:iCs/>
          <w:color w:val="555555"/>
          <w:sz w:val="20"/>
          <w:szCs w:val="20"/>
        </w:rPr>
        <w:t xml:space="preserve">Figure </w:t>
      </w:r>
      <w:r w:rsidR="007C4ABF">
        <w:rPr>
          <w:i/>
          <w:iCs/>
          <w:color w:val="555555"/>
          <w:sz w:val="20"/>
          <w:szCs w:val="20"/>
          <w:lang w:val="en-US"/>
        </w:rPr>
        <w:t>1</w:t>
      </w:r>
      <w:r w:rsidR="00BC3375">
        <w:rPr>
          <w:i/>
          <w:iCs/>
          <w:color w:val="555555"/>
          <w:sz w:val="20"/>
          <w:szCs w:val="20"/>
          <w:lang w:val="en-US"/>
        </w:rPr>
        <w:t>0</w:t>
      </w:r>
      <w:r w:rsidRPr="007C2843">
        <w:rPr>
          <w:i/>
          <w:iCs/>
          <w:color w:val="555555"/>
          <w:sz w:val="20"/>
          <w:szCs w:val="20"/>
        </w:rPr>
        <w:t>. Significant differentially spliced events (|dPSI| &gt; 0.1, p &lt; 0.05) comparing WT CT20 vs PerDKO CT20 in strict vs variable 1nt mode, for A3, A5, and RI.</w:t>
      </w:r>
    </w:p>
    <w:p w:rsidR="00E12B20" w:rsidRPr="007C2843" w:rsidRDefault="00000000">
      <w:pPr>
        <w:pStyle w:val="Heading2"/>
      </w:pPr>
      <w:r w:rsidRPr="007C2843">
        <w:t>5.4 Case study: gene C8g (ENSMUSG00000015083)</w:t>
      </w:r>
    </w:p>
    <w:p w:rsidR="00E12B20" w:rsidRPr="007C2843" w:rsidRDefault="00000000">
      <w:pPr>
        <w:spacing w:after="200"/>
        <w:jc w:val="both"/>
      </w:pPr>
      <w:r w:rsidRPr="007C2843">
        <w:t xml:space="preserve">To illustrate the practical impact of the boundary parameter, one candidate event was examined in detail using IGV. Gene </w:t>
      </w:r>
      <w:r w:rsidRPr="007C2843">
        <w:rPr>
          <w:i/>
          <w:iCs/>
        </w:rPr>
        <w:t>C8g</w:t>
      </w:r>
      <w:r w:rsidRPr="007C2843">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p>
    <w:p w:rsidR="00E12B20" w:rsidRPr="007C2843" w:rsidRDefault="00000000">
      <w:pPr>
        <w:pStyle w:val="Heading2"/>
      </w:pPr>
      <w:r w:rsidRPr="007C2843">
        <w:t>5.5 Summary</w:t>
      </w:r>
    </w:p>
    <w:p w:rsidR="0055033B" w:rsidRDefault="0055033B" w:rsidP="0055033B">
      <w:pPr>
        <w:jc w:val="both"/>
        <w:rPr>
          <w:b/>
          <w:bCs/>
        </w:rPr>
      </w:pPr>
      <w:r w:rsidRPr="0055033B">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000000">
      <w:pPr>
        <w:pStyle w:val="Heading1"/>
      </w:pPr>
      <w:r w:rsidRPr="007C2843">
        <w:t>6. Project 2: Orthogonal Validation of Nanopore Alternative Splicing with Illumina Short-Read RNA-seq</w:t>
      </w:r>
    </w:p>
    <w:p w:rsidR="00E12B20" w:rsidRPr="007C2843" w:rsidRDefault="00000000">
      <w:pPr>
        <w:pStyle w:val="Heading2"/>
      </w:pPr>
      <w:r w:rsidRPr="007C2843">
        <w:t>6.1 Objective</w:t>
      </w:r>
    </w:p>
    <w:p w:rsidR="00E12B20" w:rsidRPr="007C2843" w:rsidRDefault="00000000">
      <w:pPr>
        <w:spacing w:after="200"/>
        <w:jc w:val="both"/>
      </w:pPr>
      <w:r w:rsidRPr="007C2843">
        <w:t>The findings reported in Chikhaoui, Mamgain et al. (unpublished) are based on Nanopore long-read RNA-seq data. As part of the peer review process, the reviewers requested orthogonal validation using an independent dataset generated with a different sequencing technology. The goal of Project 2 is to reproduce the WT CT20 vs PerDKO CT20 alternative splicing comparison using publicly available Illumina short-read RNA-seq data, and to assess whether the splicing events identified from Nanopore data are also detectable in the Illumina dataset. If the two technologies converge on the same events, that strengthens the case that the findings reflect real biology rather than technical artifacts of the sequencing method.</w:t>
      </w:r>
    </w:p>
    <w:p w:rsidR="00E12B20" w:rsidRPr="007C2843" w:rsidRDefault="00000000">
      <w:pPr>
        <w:pStyle w:val="Heading2"/>
      </w:pPr>
      <w:r w:rsidRPr="007C2843">
        <w:t>6.2 Data</w:t>
      </w:r>
    </w:p>
    <w:p w:rsidR="00E12B20" w:rsidRPr="007C2843" w:rsidRDefault="00000000">
      <w:pPr>
        <w:spacing w:after="200"/>
        <w:jc w:val="both"/>
      </w:pPr>
      <w:r w:rsidRPr="007C2843">
        <w:lastRenderedPageBreak/>
        <w:t>The public dataset used is GSE171975 (Aviram et al., 2021), deposited on NCBI GEO by the Asher lab. It contains Illumina short-read RNA-seq data from mouse liver tissue at circadian time CT20, covering both WT and PerDKO conditions. The samples selected are: four WT CT20 replicates (GSM5239178, GSM5239179, GSM5239180, GSM5239181) and three PerDKO CT20 replicates (GSM5239226, GSM5239227, GSM5239228). These reads will be quantified against the laboratory's custom transcriptome (the same GTF used in Project 1), not the standard mouse reference. This is intentional: the goal is to assess whether the same isoforms detected by Nanopore, including novel ones not present in standard annotations, are also expressed in the Illumina data.</w:t>
      </w:r>
    </w:p>
    <w:p w:rsidR="00E12B20" w:rsidRPr="007C2843" w:rsidRDefault="00000000">
      <w:pPr>
        <w:pStyle w:val="Heading2"/>
      </w:pPr>
      <w:r w:rsidRPr="007C2843">
        <w:t>6.3 Pipeline</w:t>
      </w:r>
    </w:p>
    <w:p w:rsidR="00E12B20" w:rsidRPr="007C2843" w:rsidRDefault="00000000">
      <w:pPr>
        <w:spacing w:after="200"/>
        <w:jc w:val="both"/>
      </w:pPr>
      <w:r w:rsidRPr="007C2843">
        <w:t>The pipeline for Project 2 is more complex than Project 1 and involves several steps requiring careful handling of data formats at each transition:</w:t>
      </w:r>
    </w:p>
    <w:p w:rsidR="00E12B20" w:rsidRPr="007C2843" w:rsidRDefault="00000000">
      <w:pPr>
        <w:spacing w:after="200"/>
        <w:jc w:val="both"/>
      </w:pPr>
      <w:r w:rsidRPr="007C2843">
        <w:rPr>
          <w:b/>
          <w:bCs/>
        </w:rPr>
        <w:t xml:space="preserve">Step 1: Data download. </w:t>
      </w:r>
      <w:r w:rsidRPr="007C2843">
        <w:t>Raw FASTQ files for all 7 samples are downloaded from NCBI SRA using a Bash script provided by Dr. Bharath.</w:t>
      </w:r>
    </w:p>
    <w:p w:rsidR="00E12B20" w:rsidRPr="000C46CF" w:rsidRDefault="00000000">
      <w:pPr>
        <w:spacing w:after="200"/>
        <w:jc w:val="both"/>
        <w:rPr>
          <w:lang w:val="en-US"/>
        </w:rPr>
      </w:pPr>
      <w:r w:rsidRPr="007C2843">
        <w:rPr>
          <w:b/>
          <w:bCs/>
        </w:rPr>
        <w:t xml:space="preserve">Step 2: Transcript quantification. </w:t>
      </w:r>
      <w:r w:rsidRPr="007C2843">
        <w:t>Salmon is run on each</w:t>
      </w:r>
      <w:r w:rsidR="0055033B">
        <w:rPr>
          <w:lang w:val="en-US"/>
        </w:rPr>
        <w:t xml:space="preserve"> sample</w:t>
      </w:r>
      <w:r w:rsidRPr="007C2843">
        <w:t xml:space="preserve"> against the lab's custom transcriptome</w:t>
      </w:r>
      <w:r w:rsidR="000C46CF">
        <w:rPr>
          <w:lang w:val="en-US"/>
        </w:rPr>
        <w:t xml:space="preserve">, producing </w:t>
      </w:r>
      <w:r w:rsidRPr="007C2843">
        <w:t xml:space="preserve">per-sample </w:t>
      </w:r>
      <w:r w:rsidR="000C46CF">
        <w:rPr>
          <w:lang w:val="en-US"/>
        </w:rPr>
        <w:t>TPM and count estimates</w:t>
      </w:r>
      <w:r w:rsidRPr="007C2843">
        <w:t xml:space="preserve"> (.sf files)</w:t>
      </w:r>
      <w:r w:rsidR="000C46CF">
        <w:rPr>
          <w:lang w:val="en-US"/>
        </w:rPr>
        <w:t>.</w:t>
      </w:r>
    </w:p>
    <w:p w:rsidR="000C46CF" w:rsidRDefault="00000000">
      <w:pPr>
        <w:spacing w:after="200"/>
        <w:jc w:val="both"/>
      </w:pPr>
      <w:r w:rsidRPr="007C2843">
        <w:rPr>
          <w:b/>
          <w:bCs/>
        </w:rPr>
        <w:t xml:space="preserve">Step 3: Import and normalization. </w:t>
      </w:r>
      <w:r w:rsidR="000C46CF" w:rsidRPr="000C46CF">
        <w:t>Salmon outputs are imported into DESeq2 via tximport, normalizing counts across samples.</w:t>
      </w:r>
    </w:p>
    <w:p w:rsidR="00E12B20" w:rsidRPr="007C2843" w:rsidRDefault="00000000">
      <w:pPr>
        <w:spacing w:after="200"/>
        <w:jc w:val="both"/>
      </w:pPr>
      <w:r w:rsidRPr="007C2843">
        <w:rPr>
          <w:b/>
          <w:bCs/>
        </w:rPr>
        <w:t xml:space="preserve">Step 4: Batch correction. </w:t>
      </w:r>
      <w:r w:rsidR="000C46CF" w:rsidRPr="000C46CF">
        <w:t>A batch correction step using limma removes technical variation between samples. These corrected values are passed to SUPPA2, following the approach in the manuscript.</w:t>
      </w:r>
    </w:p>
    <w:p w:rsidR="00E12B20" w:rsidRPr="007C2843" w:rsidRDefault="00000000">
      <w:pPr>
        <w:spacing w:after="200"/>
        <w:jc w:val="both"/>
      </w:pPr>
      <w:r w:rsidRPr="007C2843">
        <w:rPr>
          <w:b/>
          <w:bCs/>
        </w:rPr>
        <w:t xml:space="preserve">Step 5: PSI computation. </w:t>
      </w:r>
      <w:r w:rsidR="000C46CF" w:rsidRPr="000C46CF">
        <w:t>SUPPA2 "psiPerEvent" computes PSI values for all events in the reference annotation.</w:t>
      </w:r>
    </w:p>
    <w:p w:rsidR="00E12B20" w:rsidRPr="007C2843" w:rsidRDefault="00000000">
      <w:pPr>
        <w:spacing w:after="200"/>
        <w:jc w:val="both"/>
      </w:pPr>
      <w:r w:rsidRPr="007C2843">
        <w:rPr>
          <w:b/>
          <w:bCs/>
        </w:rPr>
        <w:t xml:space="preserve">Step 6: </w:t>
      </w:r>
      <w:r w:rsidRPr="000C46CF">
        <w:t xml:space="preserve">Differential splicing. </w:t>
      </w:r>
      <w:r w:rsidR="000C46CF" w:rsidRPr="000C46CF">
        <w:t>SUPPA2 "diffSplice" compares WT CT20 vs PerDKO CT20, with events at |dPSI| &gt; 0.1 and p &lt; 0.05 considered significant.</w:t>
      </w:r>
    </w:p>
    <w:p w:rsidR="00E12B20" w:rsidRPr="007C2843" w:rsidRDefault="00000000">
      <w:pPr>
        <w:pStyle w:val="Heading2"/>
      </w:pPr>
      <w:r w:rsidRPr="007C2843">
        <w:t>6.4 Context: an inherited pipeline</w:t>
      </w:r>
    </w:p>
    <w:p w:rsidR="00E12B20" w:rsidRPr="007C2843" w:rsidRDefault="00000000">
      <w:pPr>
        <w:spacing w:after="200"/>
        <w:jc w:val="both"/>
      </w:pPr>
      <w:r w:rsidRPr="007C2843">
        <w:t>The pipeline described above did not start from zero. Lies Chikhaoui developed an earlier version of this analysis during his PhD work (Chikhaoui, 2022), and Dr. Bharath later worked on a related implementation and contributed two Bash scripts as a reference. In reviewing both approaches, Khushi Mamgain identified that they differed in a key step: the expression values passed to SUPPA2. One approach used raw Salmon TPM values directly; the other used batch-corrected DESeq2-normalized values. These two inputs produce different PSI values for the same events, which is why the pipeline requires careful reconstruction rather than direct reuse of existing scripts.</w:t>
      </w:r>
    </w:p>
    <w:p w:rsidR="00E12B20" w:rsidRPr="007C2843" w:rsidRDefault="00000000">
      <w:pPr>
        <w:spacing w:after="200"/>
        <w:jc w:val="both"/>
      </w:pPr>
      <w:r w:rsidRPr="007C2843">
        <w:t>Understanding both versions, identifying where they diverge, and determining which steps to reuse is part of the work of this project. The project will be carried out largely independently, relying on the existing scripts, the scientific literature, and the knowledge built during Project 1.</w:t>
      </w:r>
    </w:p>
    <w:p w:rsidR="00E12B20" w:rsidRPr="007C2843" w:rsidRDefault="00000000">
      <w:pPr>
        <w:pStyle w:val="Heading2"/>
      </w:pPr>
      <w:r w:rsidRPr="007C2843">
        <w:t>6.5 Current status and plan for July-August</w:t>
      </w:r>
    </w:p>
    <w:p w:rsidR="00E12B20" w:rsidRPr="007C2843" w:rsidRDefault="00000000">
      <w:pPr>
        <w:pStyle w:val="Heading3"/>
      </w:pPr>
      <w:r w:rsidRPr="007C2843">
        <w:lastRenderedPageBreak/>
        <w:t>6.5.1 Current status</w:t>
      </w:r>
    </w:p>
    <w:p w:rsidR="00E12B20" w:rsidRPr="007C2843" w:rsidRDefault="00000000">
      <w:pPr>
        <w:spacing w:after="200"/>
        <w:jc w:val="both"/>
      </w:pPr>
      <w:r w:rsidRPr="007C2843">
        <w:t>At the time of writing this report, Project 1 has been completed and its findings have been documented in a Keynote presentation delivered to the research team. The results and methodology of Project 1 form the analytical foundation for Project 2. The pipeline for Project 2 has been studied and mapped out, the data source confirmed, and the correct sequence of steps established following the clarifications described in Section 6.4.</w:t>
      </w:r>
    </w:p>
    <w:p w:rsidR="00E12B20" w:rsidRPr="007C2843" w:rsidRDefault="00000000">
      <w:pPr>
        <w:pStyle w:val="Heading3"/>
      </w:pPr>
      <w:r w:rsidRPr="007C2843">
        <w:t>6.5.2 Plan for July-August</w:t>
      </w:r>
    </w:p>
    <w:p w:rsidR="00E12B20" w:rsidRPr="007C2843" w:rsidRDefault="00000000">
      <w:pPr>
        <w:spacing w:after="200"/>
        <w:jc w:val="both"/>
      </w:pPr>
      <w:r w:rsidRPr="007C2843">
        <w:t>The execution of Project 2 will take place during July and August. The planned sequence is: (1) download all 7 FASTQ files from SRA; (2) run Salmon quantification against the lab's custom transcriptome; (3) run tximport and DESeq2 normalization; (4) apply batch correction with limma; (5) run SUPPA2 "psiPerEvent" and "diffSplice" on the corrected expression matrix; (6) compare the resulting significant events to those from Project 1 and assess overlap with the Nanopore findings.</w:t>
      </w:r>
    </w:p>
    <w:p w:rsidR="00E12B20" w:rsidRPr="007C2843" w:rsidRDefault="00000000">
      <w:pPr>
        <w:spacing w:after="200"/>
        <w:jc w:val="both"/>
      </w:pPr>
      <w:r w:rsidRPr="007C2843">
        <w:t>The expected output is a set of figures showing the overlap between Nanopore-detected and Illumina-detected differentially spliced events, which will serve as the orthogonal validation requested by the manuscript reviewers. These figures will follow the same visual conventions established in Project 1 for consistency.</w:t>
      </w:r>
    </w:p>
    <w:p w:rsidR="00E12B20" w:rsidRPr="007C2843" w:rsidRDefault="00000000">
      <w:pPr>
        <w:pStyle w:val="Heading1"/>
      </w:pPr>
      <w:r w:rsidRPr="007C2843">
        <w:t>7. Conclusion</w:t>
      </w:r>
    </w:p>
    <w:p w:rsidR="00E12B20" w:rsidRPr="007C2843" w:rsidRDefault="00000000">
      <w:pPr>
        <w:pStyle w:val="Heading2"/>
      </w:pPr>
      <w:r w:rsidRPr="007C2843">
        <w:t>7.1 Summary</w:t>
      </w:r>
    </w:p>
    <w:p w:rsidR="00E12B20" w:rsidRPr="007C2843" w:rsidRDefault="00000000">
      <w:pPr>
        <w:spacing w:after="200"/>
        <w:jc w:val="both"/>
      </w:pPr>
      <w:r w:rsidRPr="007C2843">
        <w:t>This internship addressed two sequential computational projects centered on the analysis of alternative splicing in the murine circadian transcriptome. Project 1 explored the effect of the SUPPA2 boundary parameter on alternative splicing event detection, showing that variable 1nt mode is a superset of strict mode, that the 1nt threshold is the meaningful inflection point, and that both modes produce consistent PSI values for shared events. Project 2, which will be carried out during the remaining internship period, aims to validate the laboratory's Nanopore-based splicing findings using publicly available Illumina short-read RNA-seq data (Aviram et al., 2021). Together, these two projects contribute directly to the computational support of an ongoing manuscript under review (Chikhaoui, Mamgain et al., unpublished).</w:t>
      </w:r>
    </w:p>
    <w:p w:rsidR="00E12B20" w:rsidRPr="007C2843" w:rsidRDefault="00000000">
      <w:pPr>
        <w:pStyle w:val="Heading2"/>
      </w:pPr>
      <w:r w:rsidRPr="007C2843">
        <w:t>7.2 What this internship taught me</w:t>
      </w:r>
    </w:p>
    <w:p w:rsidR="00E12B20" w:rsidRPr="007C2843" w:rsidRDefault="00000000">
      <w:pPr>
        <w:spacing w:after="200"/>
        <w:jc w:val="both"/>
      </w:pPr>
      <w:r w:rsidRPr="007C2843">
        <w:t>On the technical side, this internship required building a working understanding of alternative splicing biology from the ground up, without a formal biology background. Reading primary literature, consulting theses, and asking questions at every step were essential parts of the process. It became clear early on that research is not just about running code: a significant part of the work involves reading papers carefully, understanding methodological choices made by others, and being willing to question and verify assumptions rather than accepting outputs at face value.</w:t>
      </w:r>
    </w:p>
    <w:p w:rsidR="00E12B20" w:rsidRPr="007C2843" w:rsidRDefault="00000000">
      <w:pPr>
        <w:spacing w:after="200"/>
        <w:jc w:val="both"/>
      </w:pPr>
      <w:r w:rsidRPr="007C2843">
        <w:t xml:space="preserve">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w:t>
      </w:r>
      <w:r w:rsidRPr="007C2843">
        <w:lastRenderedPageBreak/>
        <w:t>contributors with different approaches. Each of these required patience, initiative, and the willingness to go looking for answers independently.</w:t>
      </w:r>
    </w:p>
    <w:p w:rsidR="00E12B20" w:rsidRPr="007C2843" w:rsidRDefault="00000000">
      <w:pPr>
        <w:spacing w:after="200"/>
        <w:jc w:val="both"/>
      </w:pPr>
      <w:r w:rsidRPr="007C2843">
        <w:t>Presenting findings to the research team through weekly Keynote presentations was one of the most formative parts of the experience. Preparing those presentations repeatedly exposed gaps in understanding: when an idea cannot be explained clearly to an audience, it usually means it has not been understood clearly enough. Each presentation became a prompt to read more, ask more questions, and dig deeper. It also highlighted the importance of communicating across disciplines. Working with biologists made it clear that a well-designed graph communicates far more than a table of raw numbers, and that adapting how you present information to your audience is as important as the information itself. As the saying goes, a picture is worth a thousand words.</w:t>
      </w:r>
    </w:p>
    <w:p w:rsidR="00E12B20" w:rsidRPr="007C2843" w:rsidRDefault="00000000">
      <w:pPr>
        <w:spacing w:after="200"/>
        <w:jc w:val="both"/>
      </w:pPr>
      <w:r w:rsidRPr="007C2843">
        <w:t>The same principle applied to seminars, group meetings, and lab events. Attending these regularly, even when the topics were unfamiliar, became a habit of collecting keywords, looking them up later, and slowly building a vocabulary for a field that was initially quite foreign. Curiosity and openness turned out to be more useful tools than any prior knowledge.</w:t>
      </w:r>
    </w:p>
    <w:p w:rsidR="00E12B20" w:rsidRPr="007C2843" w:rsidRDefault="00000000">
      <w:pPr>
        <w:spacing w:after="200"/>
        <w:jc w:val="both"/>
      </w:pPr>
      <w:r w:rsidRPr="007C2843">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r w:rsidRPr="007C2843">
        <w:t>7.3 Link to my degree and skills developed</w:t>
      </w:r>
    </w:p>
    <w:p w:rsidR="00E12B20" w:rsidRPr="007C2843" w:rsidRDefault="00000000">
      <w:pPr>
        <w:spacing w:after="200"/>
        <w:jc w:val="both"/>
      </w:pPr>
      <w:r w:rsidRPr="007C2843">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E12B20" w:rsidRPr="007C2843" w:rsidRDefault="00000000">
      <w:pPr>
        <w:spacing w:after="200"/>
        <w:jc w:val="both"/>
      </w:pPr>
      <w:r w:rsidRPr="007C2843">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E12B20" w:rsidRPr="007C2843" w:rsidRDefault="00000000">
      <w:pPr>
        <w:pStyle w:val="Heading2"/>
      </w:pPr>
      <w:r w:rsidRPr="007C2843">
        <w:t>7.4 Perspectives</w:t>
      </w:r>
    </w:p>
    <w:p w:rsidR="00E12B20" w:rsidRPr="007C2843" w:rsidRDefault="00000000">
      <w:pPr>
        <w:spacing w:after="200"/>
        <w:jc w:val="both"/>
      </w:pPr>
      <w:r w:rsidRPr="007C2843">
        <w:t xml:space="preserve">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w:t>
      </w:r>
      <w:r w:rsidRPr="007C2843">
        <w:lastRenderedPageBreak/>
        <w:t>from raw data to figures to interpretation, has made clearer what a career in research actually looks like and why it is the right path.</w:t>
      </w:r>
    </w:p>
    <w:p w:rsidR="00E12B20" w:rsidRPr="007C2843" w:rsidRDefault="00000000">
      <w:pPr>
        <w:spacing w:after="200"/>
        <w:jc w:val="both"/>
      </w:pPr>
      <w:r w:rsidRPr="007C2843">
        <w:t>The longer-term goal is to pursue a PhD in bioinformatics, building on the foundation established during this internship. The questions that motivated this project, how gene regulation shapes biological rhythms, how computational tools can be used to detect and validate molecular events at scale, and how different data sources can be combined to build a more complete picture, are exactly the kinds of questions I want to keep working on.</w:t>
      </w:r>
    </w:p>
    <w:p w:rsidR="00E12B20" w:rsidRPr="007C2843" w:rsidRDefault="00000000">
      <w:r w:rsidRPr="007C2843">
        <w:br w:type="page"/>
      </w:r>
    </w:p>
    <w:p w:rsidR="00E12B20" w:rsidRPr="007C2843" w:rsidRDefault="00000000">
      <w:pPr>
        <w:pStyle w:val="Heading1"/>
      </w:pPr>
      <w:r w:rsidRPr="007C2843">
        <w:lastRenderedPageBreak/>
        <w:t>References</w:t>
      </w:r>
    </w:p>
    <w:p w:rsidR="00E12B20" w:rsidRPr="007C2843" w:rsidRDefault="00000000">
      <w:pPr>
        <w:spacing w:after="140"/>
        <w:ind w:left="360" w:hanging="360"/>
        <w:jc w:val="both"/>
      </w:pPr>
      <w:r w:rsidRPr="007C2843">
        <w:rPr>
          <w:sz w:val="22"/>
          <w:szCs w:val="22"/>
        </w:rPr>
        <w:t xml:space="preserve">Aviram, R., Dandavate, V., Manella, G., Golik, M., &amp; Asher, G. (2021). Ultradian rhythms of AKT phosphorylation and gene expression emerge in the absence of the circadian clock components Per1 and Per2. </w:t>
      </w:r>
      <w:r w:rsidRPr="007C2843">
        <w:rPr>
          <w:i/>
          <w:iCs/>
        </w:rPr>
        <w:t>PLOS Biology, 19</w:t>
      </w:r>
      <w:r w:rsidRPr="007C2843">
        <w:rPr>
          <w:sz w:val="22"/>
          <w:szCs w:val="22"/>
        </w:rPr>
        <w:t>(12), e3001492. https://doi.org/10.1371/journal.pbio.3001492</w:t>
      </w:r>
    </w:p>
    <w:p w:rsidR="00E12B20" w:rsidRPr="007C2843" w:rsidRDefault="00000000">
      <w:pPr>
        <w:spacing w:after="140"/>
        <w:ind w:left="360" w:hanging="360"/>
        <w:jc w:val="both"/>
      </w:pPr>
      <w:r w:rsidRPr="007C2843">
        <w:rPr>
          <w:sz w:val="22"/>
          <w:szCs w:val="22"/>
        </w:rPr>
        <w:t xml:space="preserve">Chen, Y., Davidson, N. M., Wan, Y. K., et al. (2021). A systematic benchmark of Nanopore long read RNA sequencing for transcript level analysis in human cell lines. </w:t>
      </w:r>
      <w:r w:rsidRPr="007C2843">
        <w:rPr>
          <w:i/>
          <w:iCs/>
        </w:rPr>
        <w:t>bioRxiv</w:t>
      </w:r>
      <w:r w:rsidRPr="007C2843">
        <w:rPr>
          <w:sz w:val="22"/>
          <w:szCs w:val="22"/>
        </w:rPr>
        <w:t>. https://doi.org/10.1101/2021.04.21.440736</w:t>
      </w:r>
    </w:p>
    <w:p w:rsidR="00E12B20" w:rsidRPr="007C2843" w:rsidRDefault="00000000">
      <w:pPr>
        <w:spacing w:after="140"/>
        <w:ind w:left="360" w:hanging="360"/>
        <w:jc w:val="both"/>
      </w:pPr>
      <w:r w:rsidRPr="007C2843">
        <w:rPr>
          <w:sz w:val="22"/>
          <w:szCs w:val="22"/>
        </w:rPr>
        <w:t xml:space="preserve">Chikhaoui, L. (2022). </w:t>
      </w:r>
      <w:r w:rsidRPr="007C2843">
        <w:rPr>
          <w:i/>
          <w:iCs/>
        </w:rPr>
        <w:t>Circadian regulation of post-transcriptional processes in the mouse liver</w:t>
      </w:r>
      <w:r w:rsidRPr="007C2843">
        <w:rPr>
          <w:sz w:val="22"/>
          <w:szCs w:val="22"/>
        </w:rPr>
        <w:t xml:space="preserve"> [PhD thesis]. Ecole Normale Superieure de Lyon, Universite Claude Bernard Lyon 1.</w:t>
      </w:r>
    </w:p>
    <w:p w:rsidR="00E12B20" w:rsidRPr="007C2843" w:rsidRDefault="00000000">
      <w:pPr>
        <w:spacing w:after="140"/>
        <w:ind w:left="360" w:hanging="360"/>
        <w:jc w:val="both"/>
      </w:pPr>
      <w:r w:rsidRPr="007C2843">
        <w:rPr>
          <w:sz w:val="22"/>
          <w:szCs w:val="22"/>
        </w:rPr>
        <w:t xml:space="preserve">Chikhaoui, L., Mamgain, K., Seki, M., Blanco, C., Sassolas, F., Folco, E. G., Sery, D., Suzuki, Y., Ananthasubramaniam, B., &amp; Padmanabhan, K. (unpublished). PERIOD proteins dictate targeting of splicing factors to chromatin, shaping circadian transcriptome diversity. </w:t>
      </w:r>
      <w:r w:rsidRPr="007C2843">
        <w:rPr>
          <w:i/>
          <w:iCs/>
        </w:rPr>
        <w:t>Manuscript under review.</w:t>
      </w:r>
    </w:p>
    <w:p w:rsidR="00E12B20" w:rsidRPr="007C2843" w:rsidRDefault="00000000">
      <w:pPr>
        <w:spacing w:after="140"/>
        <w:ind w:left="360" w:hanging="360"/>
        <w:jc w:val="both"/>
      </w:pPr>
      <w:r w:rsidRPr="007C2843">
        <w:rPr>
          <w:sz w:val="22"/>
          <w:szCs w:val="22"/>
        </w:rPr>
        <w:t xml:space="preserve">Gehring, N. H., &amp; Roignant, J.-Y. (2021). Anything but ordinary: emerging splicing mechanisms in eukaryotic gene regulation. </w:t>
      </w:r>
      <w:r w:rsidRPr="007C2843">
        <w:rPr>
          <w:i/>
          <w:iCs/>
        </w:rPr>
        <w:t>Trends in Genetics, 37</w:t>
      </w:r>
      <w:r w:rsidRPr="007C2843">
        <w:rPr>
          <w:sz w:val="22"/>
          <w:szCs w:val="22"/>
        </w:rPr>
        <w:t>(4), 355-372. https://doi.org/10.1016/j.tig.2020.10.009</w:t>
      </w:r>
    </w:p>
    <w:p w:rsidR="00E12B20" w:rsidRPr="007C2843" w:rsidRDefault="00000000">
      <w:pPr>
        <w:spacing w:after="140"/>
        <w:ind w:left="360" w:hanging="360"/>
        <w:jc w:val="both"/>
      </w:pPr>
      <w:r w:rsidRPr="007C2843">
        <w:rPr>
          <w:sz w:val="22"/>
          <w:szCs w:val="22"/>
        </w:rPr>
        <w:t xml:space="preserve">Love, M. I., Anders, S., Kim, V., &amp; Huber, W. (2016). RNA-Seq workflow: gene-level exploratory analysis and differential expression. </w:t>
      </w:r>
      <w:r w:rsidRPr="007C2843">
        <w:rPr>
          <w:i/>
          <w:iCs/>
        </w:rPr>
        <w:t>F1000Research, 4</w:t>
      </w:r>
      <w:r w:rsidRPr="007C2843">
        <w:rPr>
          <w:sz w:val="22"/>
          <w:szCs w:val="22"/>
        </w:rPr>
        <w:t>, 1070. https://doi.org/10.12688/f1000research.7035.2</w:t>
      </w:r>
    </w:p>
    <w:p w:rsidR="00E12B20" w:rsidRPr="007C2843" w:rsidRDefault="00000000">
      <w:pPr>
        <w:spacing w:after="140"/>
        <w:ind w:left="360" w:hanging="360"/>
        <w:jc w:val="both"/>
      </w:pPr>
      <w:r w:rsidRPr="007C2843">
        <w:rPr>
          <w:sz w:val="22"/>
          <w:szCs w:val="22"/>
        </w:rPr>
        <w:t xml:space="preserve">Patro, R., Duggal, G., Love, M. I., Irizarry, R. A., &amp; Kingsford, C. (2017). Salmon provides fast and bias-aware quantification of transcript expression. </w:t>
      </w:r>
      <w:r w:rsidRPr="007C2843">
        <w:rPr>
          <w:i/>
          <w:iCs/>
        </w:rPr>
        <w:t>Nature Methods, 14</w:t>
      </w:r>
      <w:r w:rsidRPr="007C2843">
        <w:rPr>
          <w:sz w:val="22"/>
          <w:szCs w:val="22"/>
        </w:rPr>
        <w:t>(4), 417-419. https://doi.org/10.1038/nmeth.4197</w:t>
      </w:r>
    </w:p>
    <w:p w:rsidR="00E12B20" w:rsidRPr="007C2843" w:rsidRDefault="00000000">
      <w:pPr>
        <w:spacing w:after="140"/>
        <w:ind w:left="360" w:hanging="360"/>
        <w:jc w:val="both"/>
      </w:pPr>
      <w:r w:rsidRPr="007C2843">
        <w:rPr>
          <w:sz w:val="22"/>
          <w:szCs w:val="22"/>
        </w:rPr>
        <w:t xml:space="preserve">Robinson, J. T., Thorvaldsdottir, H., Winckler, W., Guttman, M., Lander, E. S., Getz, G., &amp; Mesirov, J. P. (2011). Integrative genomics viewer. </w:t>
      </w:r>
      <w:r w:rsidRPr="007C2843">
        <w:rPr>
          <w:i/>
          <w:iCs/>
        </w:rPr>
        <w:t>Nature Biotechnology, 29</w:t>
      </w:r>
      <w:r w:rsidRPr="007C2843">
        <w:rPr>
          <w:sz w:val="22"/>
          <w:szCs w:val="22"/>
        </w:rPr>
        <w:t>(1), 24-26. https://doi.org/10.1038/nbt.1754</w:t>
      </w:r>
    </w:p>
    <w:p w:rsidR="00E12B20" w:rsidRPr="007C2843" w:rsidRDefault="00000000">
      <w:pPr>
        <w:spacing w:after="140"/>
        <w:ind w:left="360" w:hanging="360"/>
        <w:jc w:val="both"/>
      </w:pPr>
      <w:r w:rsidRPr="007C2843">
        <w:rPr>
          <w:sz w:val="22"/>
          <w:szCs w:val="22"/>
        </w:rPr>
        <w:t xml:space="preserve">Sessegolo, C., Cruaud, C., Da Silva, C., Cologne, A., Dubarry, M., Derrien, T., Lacroix, V., &amp; Aury, J.-M. (2019). Transcriptome profiling of mouse samples using nanopore sequencing of cDNA and RNA molecules. </w:t>
      </w:r>
      <w:r w:rsidRPr="007C2843">
        <w:rPr>
          <w:i/>
          <w:iCs/>
        </w:rPr>
        <w:t>Scientific Reports, 9</w:t>
      </w:r>
      <w:r w:rsidRPr="007C2843">
        <w:rPr>
          <w:sz w:val="22"/>
          <w:szCs w:val="22"/>
        </w:rPr>
        <w:t>(1), 14908. https://doi.org/10.1038/s41598-019-51470-9</w:t>
      </w:r>
    </w:p>
    <w:p w:rsidR="00E12B20" w:rsidRPr="007C2843" w:rsidRDefault="00000000">
      <w:pPr>
        <w:spacing w:after="140"/>
        <w:ind w:left="360" w:hanging="360"/>
        <w:jc w:val="both"/>
      </w:pPr>
      <w:r w:rsidRPr="007C2843">
        <w:rPr>
          <w:sz w:val="22"/>
          <w:szCs w:val="22"/>
        </w:rPr>
        <w:t xml:space="preserve">Soneson, C., Yao, Y., Bratus-Neuenschwander, A., Patrignani, A., Robinson, M. D., &amp; Hussain, S. (2019). A comprehensive examination of Nanopore native RNA sequencing for characterization of complex transcriptomes. </w:t>
      </w:r>
      <w:r w:rsidRPr="007C2843">
        <w:rPr>
          <w:i/>
          <w:iCs/>
        </w:rPr>
        <w:t>Nature Communications, 10</w:t>
      </w:r>
      <w:r w:rsidRPr="007C2843">
        <w:rPr>
          <w:sz w:val="22"/>
          <w:szCs w:val="22"/>
        </w:rPr>
        <w:t>(1), 3359. https://doi.org/10.1038/s41467-019-11272-z</w:t>
      </w:r>
    </w:p>
    <w:p w:rsidR="00E12B20" w:rsidRPr="007C2843" w:rsidRDefault="00000000">
      <w:pPr>
        <w:spacing w:after="140"/>
        <w:ind w:left="360" w:hanging="360"/>
        <w:jc w:val="both"/>
      </w:pPr>
      <w:r w:rsidRPr="007C2843">
        <w:rPr>
          <w:sz w:val="22"/>
          <w:szCs w:val="22"/>
        </w:rPr>
        <w:t xml:space="preserve">Trincado, J. L., Entizne, J. C., Hysenaj, G., Singh, B., Skalic, M., Elliott, D. J., &amp; Eyras, E. (2018). SUPPA2: fast, accurate, and uncertainty-aware differential splicing analysis across multiple conditions. </w:t>
      </w:r>
      <w:r w:rsidRPr="007C2843">
        <w:rPr>
          <w:i/>
          <w:iCs/>
        </w:rPr>
        <w:t>Genome Biology, 19</w:t>
      </w:r>
      <w:r w:rsidRPr="007C2843">
        <w:rPr>
          <w:sz w:val="22"/>
          <w:szCs w:val="22"/>
        </w:rPr>
        <w:t>(1), 40. https://doi.org/10.1186/s13059-018-1415-7</w:t>
      </w:r>
    </w:p>
    <w:p w:rsidR="007C2843" w:rsidRDefault="007C2843">
      <w:pPr>
        <w:spacing w:after="140"/>
        <w:ind w:left="360" w:hanging="360"/>
        <w:jc w:val="both"/>
      </w:pPr>
    </w:p>
    <w:p w:rsidR="00960383" w:rsidRDefault="00960383">
      <w:pPr>
        <w:spacing w:after="140"/>
        <w:ind w:left="360" w:hanging="360"/>
        <w:jc w:val="both"/>
      </w:pPr>
    </w:p>
    <w:p w:rsidR="00960383" w:rsidRDefault="00960383">
      <w:pPr>
        <w:spacing w:after="140"/>
        <w:ind w:left="360" w:hanging="360"/>
        <w:jc w:val="both"/>
      </w:pPr>
    </w:p>
    <w:p w:rsidR="00960383" w:rsidRDefault="00960383">
      <w:pPr>
        <w:spacing w:after="140"/>
        <w:ind w:left="360" w:hanging="360"/>
        <w:jc w:val="both"/>
      </w:pPr>
    </w:p>
    <w:p w:rsidR="00960383" w:rsidRDefault="00960383">
      <w:pPr>
        <w:spacing w:after="140"/>
        <w:ind w:left="360" w:hanging="360"/>
        <w:jc w:val="both"/>
      </w:pPr>
    </w:p>
    <w:p w:rsidR="00960383" w:rsidRPr="00960383" w:rsidRDefault="007B1613" w:rsidP="00960383">
      <w:pPr>
        <w:pStyle w:val="Heading1"/>
        <w:rPr>
          <w:lang w:val="en-US"/>
        </w:rPr>
      </w:pPr>
      <w:r>
        <w:rPr>
          <w:noProof/>
          <w:lang w:val="en-US"/>
        </w:rPr>
        <w:lastRenderedPageBreak/>
        <mc:AlternateContent>
          <mc:Choice Requires="wps">
            <w:drawing>
              <wp:anchor distT="0" distB="0" distL="114300" distR="114300" simplePos="0" relativeHeight="251661312" behindDoc="0" locked="0" layoutInCell="1" allowOverlap="1">
                <wp:simplePos x="0" y="0"/>
                <wp:positionH relativeFrom="column">
                  <wp:posOffset>1419558</wp:posOffset>
                </wp:positionH>
                <wp:positionV relativeFrom="paragraph">
                  <wp:posOffset>306931</wp:posOffset>
                </wp:positionV>
                <wp:extent cx="530736" cy="358087"/>
                <wp:effectExtent l="0" t="0" r="3175" b="0"/>
                <wp:wrapNone/>
                <wp:docPr id="1787693573" name="Text Box 25"/>
                <wp:cNvGraphicFramePr/>
                <a:graphic xmlns:a="http://schemas.openxmlformats.org/drawingml/2006/main">
                  <a:graphicData uri="http://schemas.microsoft.com/office/word/2010/wordprocessingShape">
                    <wps:wsp>
                      <wps:cNvSpPr txBox="1"/>
                      <wps:spPr>
                        <a:xfrm>
                          <a:off x="0" y="0"/>
                          <a:ext cx="530736"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11.8pt;margin-top:24.15pt;width:41.8pt;height:28.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960383">
        <w:rPr>
          <w:lang w:val="en-US"/>
        </w:rPr>
        <w:t>Annexes</w:t>
      </w:r>
    </w:p>
    <w:p w:rsidR="000D2CA7" w:rsidRDefault="00960383" w:rsidP="000D2CA7">
      <w:pPr>
        <w:spacing w:after="140"/>
        <w:ind w:left="360" w:hanging="360"/>
        <w:jc w:val="center"/>
      </w:pPr>
      <w:r>
        <w:rPr>
          <w:noProof/>
        </w:rPr>
        <w:drawing>
          <wp:inline distT="0" distB="0" distL="0" distR="0">
            <wp:extent cx="2436269" cy="1335920"/>
            <wp:effectExtent l="0" t="0" r="0" b="0"/>
            <wp:docPr id="414917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7962" name="Picture 414917962"/>
                    <pic:cNvPicPr/>
                  </pic:nvPicPr>
                  <pic:blipFill rotWithShape="1">
                    <a:blip r:embed="rId21" cstate="print">
                      <a:extLst>
                        <a:ext uri="{28A0092B-C50C-407E-A947-70E740481C1C}">
                          <a14:useLocalDpi xmlns:a14="http://schemas.microsoft.com/office/drawing/2010/main" val="0"/>
                        </a:ext>
                      </a:extLst>
                    </a:blip>
                    <a:srcRect l="11333" t="6589" r="5603" b="12436"/>
                    <a:stretch/>
                  </pic:blipFill>
                  <pic:spPr bwMode="auto">
                    <a:xfrm>
                      <a:off x="0" y="0"/>
                      <a:ext cx="2482538" cy="1361291"/>
                    </a:xfrm>
                    <a:prstGeom prst="rect">
                      <a:avLst/>
                    </a:prstGeom>
                    <a:ln>
                      <a:noFill/>
                    </a:ln>
                    <a:extLst>
                      <a:ext uri="{53640926-AAD7-44D8-BBD7-CCE9431645EC}">
                        <a14:shadowObscured xmlns:a14="http://schemas.microsoft.com/office/drawing/2010/main"/>
                      </a:ext>
                    </a:extLst>
                  </pic:spPr>
                </pic:pic>
              </a:graphicData>
            </a:graphic>
          </wp:inline>
        </w:drawing>
      </w:r>
    </w:p>
    <w:p w:rsidR="000D2CA7" w:rsidRDefault="007B1613" w:rsidP="000D2CA7">
      <w:pPr>
        <w:spacing w:after="140"/>
        <w:ind w:left="360" w:hanging="360"/>
        <w:jc w:val="center"/>
      </w:pP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-115099</wp:posOffset>
                </wp:positionH>
                <wp:positionV relativeFrom="paragraph">
                  <wp:posOffset>111214</wp:posOffset>
                </wp:positionV>
                <wp:extent cx="300537" cy="274959"/>
                <wp:effectExtent l="0" t="0" r="4445" b="4445"/>
                <wp:wrapNone/>
                <wp:docPr id="44117099"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9.05pt;margin-top:8.75pt;width:23.65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VczLg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960383" w:rsidRDefault="00960383" w:rsidP="000D2CA7">
      <w:pPr>
        <w:spacing w:after="140"/>
        <w:ind w:left="360" w:hanging="360"/>
        <w:jc w:val="center"/>
      </w:pPr>
      <w:r>
        <w:rPr>
          <w:noProof/>
        </w:rPr>
        <w:drawing>
          <wp:inline distT="0" distB="0" distL="0" distR="0">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2"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D2CA7" w:rsidRPr="007C2843" w:rsidRDefault="000D2CA7" w:rsidP="000D2CA7">
      <w:pPr>
        <w:spacing w:after="200"/>
        <w:jc w:val="center"/>
      </w:pPr>
      <w:r w:rsidRPr="007C2843">
        <w:rPr>
          <w:i/>
          <w:iCs/>
          <w:color w:val="555555"/>
          <w:sz w:val="20"/>
          <w:szCs w:val="20"/>
        </w:rPr>
        <w:t xml:space="preserve">Figure </w:t>
      </w:r>
      <w:r>
        <w:rPr>
          <w:i/>
          <w:iCs/>
          <w:color w:val="555555"/>
          <w:sz w:val="20"/>
          <w:szCs w:val="20"/>
          <w:lang w:val="en-US"/>
        </w:rPr>
        <w:t>B</w:t>
      </w:r>
      <w:r w:rsidRPr="000D2CA7">
        <w:rPr>
          <w:i/>
          <w:iCs/>
          <w:color w:val="555555"/>
          <w:sz w:val="20"/>
          <w:szCs w:val="20"/>
        </w:rPr>
        <w:t>. 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0D2CA7">
      <w:pPr>
        <w:spacing w:after="140"/>
        <w:ind w:left="360" w:hanging="360"/>
        <w:jc w:val="both"/>
      </w:pPr>
    </w:p>
    <w:p w:rsidR="00960383" w:rsidRPr="007C2843" w:rsidRDefault="007B1613">
      <w:pPr>
        <w:spacing w:after="140"/>
        <w:ind w:left="360" w:hanging="360"/>
        <w:jc w:val="both"/>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36830</wp:posOffset>
                </wp:positionH>
                <wp:positionV relativeFrom="paragraph">
                  <wp:posOffset>82457</wp:posOffset>
                </wp:positionV>
                <wp:extent cx="300537" cy="274959"/>
                <wp:effectExtent l="0" t="0" r="4445" b="4445"/>
                <wp:wrapNone/>
                <wp:docPr id="1099302160"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8" type="#_x0000_t202" style="position:absolute;left:0;text-align:left;margin-left:2.9pt;margin-top:6.5pt;width:23.65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5faX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00960383">
        <w:rPr>
          <w:noProof/>
        </w:rPr>
        <w:drawing>
          <wp:inline distT="0" distB="0" distL="0" distR="0">
            <wp:extent cx="5961074" cy="2559180"/>
            <wp:effectExtent l="0" t="0" r="0" b="0"/>
            <wp:docPr id="2163472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7243" name="Picture 2163472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93978" cy="2573306"/>
                    </a:xfrm>
                    <a:prstGeom prst="rect">
                      <a:avLst/>
                    </a:prstGeom>
                  </pic:spPr>
                </pic:pic>
              </a:graphicData>
            </a:graphic>
          </wp:inline>
        </w:drawing>
      </w:r>
    </w:p>
    <w:sectPr w:rsidR="00960383" w:rsidRPr="007C2843">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29FF" w:rsidRDefault="008F29FF">
      <w:r>
        <w:separator/>
      </w:r>
    </w:p>
  </w:endnote>
  <w:endnote w:type="continuationSeparator" w:id="0">
    <w:p w:rsidR="008F29FF" w:rsidRDefault="008F2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29FF" w:rsidRDefault="008F29FF">
      <w:r>
        <w:separator/>
      </w:r>
    </w:p>
  </w:footnote>
  <w:footnote w:type="continuationSeparator" w:id="0">
    <w:p w:rsidR="008F29FF" w:rsidRDefault="008F2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num w:numId="1" w16cid:durableId="1794668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C46CF"/>
    <w:rsid w:val="000D2CA7"/>
    <w:rsid w:val="002C2609"/>
    <w:rsid w:val="00330645"/>
    <w:rsid w:val="0039033E"/>
    <w:rsid w:val="0055033B"/>
    <w:rsid w:val="007B1613"/>
    <w:rsid w:val="007C2843"/>
    <w:rsid w:val="007C4ABF"/>
    <w:rsid w:val="007F738F"/>
    <w:rsid w:val="00810EF1"/>
    <w:rsid w:val="008F29FF"/>
    <w:rsid w:val="00960383"/>
    <w:rsid w:val="009B6845"/>
    <w:rsid w:val="00AF04E5"/>
    <w:rsid w:val="00BC3375"/>
    <w:rsid w:val="00C80A95"/>
    <w:rsid w:val="00E12B20"/>
    <w:rsid w:val="00E207C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FD53"/>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19</Pages>
  <Words>5866</Words>
  <Characters>33441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8</cp:revision>
  <dcterms:created xsi:type="dcterms:W3CDTF">2026-06-10T08:39:00Z</dcterms:created>
  <dcterms:modified xsi:type="dcterms:W3CDTF">2026-06-10T14:23:00Z</dcterms:modified>
</cp:coreProperties>
</file>