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75B6"/>
          <w:sz w:val="28"/>
          <w:szCs w:val="28"/>
        </w:rPr>
        <w:t xml:space="preserve">1. Introduction</w:t>
      </w:r>
    </w:p>
    <w:p>
      <w:pPr>
        <w:spacing w:after="200"/>
        <w:jc w:val="both"/>
      </w:pPr>
      <w:r>
        <w:rPr>
          <w:rFonts w:ascii="Arial" w:cs="Arial" w:eastAsia="Arial" w:hAnsi="Arial"/>
          <w:sz w:val="24"/>
          <w:szCs w:val="24"/>
        </w:rPr>
        <w:t xml:space="preserve">At its core, biology is an information problem. DNA is a sequence (four characters long) read by molecular machines that produce vastly different outputs depending on context. One gene, one sequence, yet a single cell can use it to generate dozens of distinct functional products. The mechanism behind this is called alternative splicing: a post-transcriptional process by which different segments of a pre-messenger RNA (pre-mRNA) are selectively included or excluded, producing multiple transcript isoforms from a single gene. It is, in essence, a biological multiplexing system.</w:t>
      </w:r>
    </w:p>
    <w:p>
      <w:pPr>
        <w:spacing w:after="200"/>
        <w:jc w:val="both"/>
      </w:pPr>
      <w:r>
        <w:rPr>
          <w:rFonts w:ascii="Arial" w:cs="Arial" w:eastAsia="Arial" w:hAnsi="Arial"/>
          <w:sz w:val="24"/>
          <w:szCs w:val="24"/>
        </w:rPr>
        <w:t xml:space="preserve">Understanding which isoforms are expressed, when, and in response to what conditions, is one of the central challenges of modern transcriptomics. This is particularly relevant in the context of circadian biology, where the liver operates on a precise 24-hour molecular clock. Disruption of this clock, through knockout of clock genes such as Per1 and Per2, leads to widespread changes in gene expression and, as recent research from the host laboratory suggests, in the alternative splicing landscape of the murine transcriptome.</w:t>
      </w:r>
    </w:p>
    <w:p>
      <w:pPr>
        <w:spacing w:after="200"/>
        <w:jc w:val="both"/>
      </w:pPr>
      <w:r>
        <w:rPr>
          <w:rFonts w:ascii="Arial" w:cs="Arial" w:eastAsia="Arial" w:hAnsi="Arial"/>
          <w:sz w:val="24"/>
          <w:szCs w:val="24"/>
        </w:rPr>
        <w:t xml:space="preserve">This report describes the work carried out during a research internship at the Institut de Genomique Fonctionnelle de Lyon (IGFL), ENS Lyon, from April 27 to August 28, 2026, under the supervision of Dr. Kiran Padmanabhan (Research Director and Group Leader). The internship is part of a BSc in Bioinformatics (Licence Bioinformatique, Portail Informatique, Universite Claude Bernard Lyon 1).</w:t>
      </w:r>
    </w:p>
    <w:p>
      <w:pPr>
        <w:spacing w:after="200"/>
        <w:jc w:val="both"/>
      </w:pPr>
      <w:r>
        <w:rPr>
          <w:rFonts w:ascii="Arial" w:cs="Arial" w:eastAsia="Arial" w:hAnsi="Arial"/>
          <w:sz w:val="24"/>
          <w:szCs w:val="24"/>
        </w:rPr>
        <w:t xml:space="preserve">The internship is structured around two sequential projects, both centered on the analysis of alternative splicing in the murine circadian transcriptome. The first project is an exploratory benchmarking study of the SUPPA2 splicing detection tool on Nanopore long-read RNA-seq data. The second, and main, project involves orthogonal validation of the laboratory's findings using publicly available Illumina short-read RNA-seq data. This report covers both projects, presenting the methods and results obtained so far, as well as the plan for the remaining internship period.</w:t>
      </w:r>
    </w:p>
    <w:p>
      <w:pPr>
        <w:pStyle w:val="Heading1"/>
      </w:pPr>
      <w:r>
        <w:rPr>
          <w:rFonts w:ascii="Arial" w:cs="Arial" w:eastAsia="Arial" w:hAnsi="Arial"/>
          <w:b/>
          <w:bCs/>
          <w:color w:val="2E75B6"/>
          <w:sz w:val="28"/>
          <w:szCs w:val="28"/>
        </w:rPr>
        <w:t xml:space="preserve">2. Host Institution and Research Team</w:t>
      </w:r>
    </w:p>
    <w:p>
      <w:pPr>
        <w:pStyle w:val="Heading2"/>
      </w:pPr>
      <w:r>
        <w:rPr>
          <w:rFonts w:ascii="Arial" w:cs="Arial" w:eastAsia="Arial" w:hAnsi="Arial"/>
          <w:b/>
          <w:bCs/>
          <w:color w:val="2E75B6"/>
          <w:sz w:val="24"/>
          <w:szCs w:val="24"/>
        </w:rPr>
        <w:t xml:space="preserve">2.1 Institut de Genomique Fonctionnelle de Lyon (IGFL)</w:t>
      </w:r>
    </w:p>
    <w:p>
      <w:pPr>
        <w:spacing w:after="200"/>
        <w:jc w:val="both"/>
      </w:pPr>
      <w:r>
        <w:rPr>
          <w:rFonts w:ascii="Arial" w:cs="Arial" w:eastAsia="Arial" w:hAnsi="Arial"/>
          <w:sz w:val="24"/>
          <w:szCs w:val="24"/>
        </w:rPr>
        <w:t xml:space="preserve">The Institut de Genomique Fonctionnelle de Lyon (IGFL) is a joint research unit (UMR 5242) affiliated with the CNRS, the Ecole Normale Superieure de Lyon (ENS Lyon), and the Universite Claude Bernard Lyon 1. It is located on the ENS Lyon campus in Lyon, France. The institute brings together research groups working at the intersection of genomics, developmental biology, and evolutionary biology, with a shared interest in understanding how genes are regulated and what happens when that regulation changes.</w:t>
      </w:r>
    </w:p>
    <w:p>
      <w:pPr>
        <w:spacing w:after="200"/>
        <w:jc w:val="both"/>
      </w:pPr>
      <w:r>
        <w:rPr>
          <w:rFonts w:ascii="Arial" w:cs="Arial" w:eastAsia="Arial" w:hAnsi="Arial"/>
          <w:sz w:val="24"/>
          <w:szCs w:val="24"/>
        </w:rPr>
        <w:t xml:space="preserve">The IGFL supports both experimental and computational research, with access to high-throughput sequencing, proteomics, and imaging platforms. This makes it a good fit for projects that combine wet-lab biology with bioinformatics analysis, which is exactly the nature of the work described in this report.</w:t>
      </w:r>
    </w:p>
    <w:p>
      <w:pPr>
        <w:pStyle w:val="Heading2"/>
      </w:pPr>
      <w:r>
        <w:rPr>
          <w:rFonts w:ascii="Arial" w:cs="Arial" w:eastAsia="Arial" w:hAnsi="Arial"/>
          <w:b/>
          <w:bCs/>
          <w:color w:val="2E75B6"/>
          <w:sz w:val="24"/>
          <w:szCs w:val="24"/>
        </w:rPr>
        <w:t xml:space="preserve">2.2 The Padmanabhan Research Group</w:t>
      </w:r>
    </w:p>
    <w:p>
      <w:pPr>
        <w:spacing w:after="200"/>
        <w:jc w:val="both"/>
      </w:pPr>
      <w:r>
        <w:rPr>
          <w:rFonts w:ascii="Arial" w:cs="Arial" w:eastAsia="Arial" w:hAnsi="Arial"/>
          <w:sz w:val="24"/>
          <w:szCs w:val="24"/>
        </w:rPr>
        <w:t xml:space="preserve">The internship was carried out within the research group led by Dr. Kiran Padmanabhan (Research Director and Group Leader at IGFL). The group studies how the circadian clock, the internal 24-hour timer present in most cells of the body, controls gene activity in the liver. More specifically, the group investigates how the clock shapes not just which genes are turned on or off, but how those genes are processed after being read, including which version of a transcript is produced and how it is chemically modified.</w:t>
      </w:r>
    </w:p>
    <w:p>
      <w:pPr>
        <w:spacing w:after="200"/>
        <w:jc w:val="both"/>
      </w:pPr>
      <w:r>
        <w:rPr>
          <w:rFonts w:ascii="Arial" w:cs="Arial" w:eastAsia="Arial" w:hAnsi="Arial"/>
          <w:sz w:val="24"/>
          <w:szCs w:val="24"/>
        </w:rPr>
        <w:t xml:space="preserve">A key focus of the group is the relationship between the circadian clock and alternative splicing. Recent work from the lab, carried out in collaboration with Prof. Yutaka Suzuki's group at the University of Tokyo, generated Nanopore long-read RNA-seq data from mouse liver tissue collected at multiple time points across the circadian cycle, as well as from mice with a knockout of the Per1 and Per2 clock genes (Per double knockout, PerDKO). This dataset is at the center of the internship.</w:t>
      </w:r>
    </w:p>
    <w:p>
      <w:pPr>
        <w:spacing w:after="200"/>
        <w:jc w:val="both"/>
      </w:pPr>
      <w:r>
        <w:rPr>
          <w:rFonts w:ascii="Arial" w:cs="Arial" w:eastAsia="Arial" w:hAnsi="Arial"/>
          <w:sz w:val="24"/>
          <w:szCs w:val="24"/>
        </w:rPr>
        <w:t xml:space="preserve">The group's most recent findings, currently under review for publication (Chikhaoui, Mamgain et al., unpublished), show that PERIOD proteins influence how splicing factors are recruited to chromatin, which in turn affects which transcript isoforms are produced in a time-dependent way. The computational validation of these findings is the main goal of Project 2 of this internship.</w:t>
      </w:r>
    </w:p>
    <w:p>
      <w:pPr>
        <w:pStyle w:val="Heading2"/>
      </w:pPr>
      <w:r>
        <w:rPr>
          <w:rFonts w:ascii="Arial" w:cs="Arial" w:eastAsia="Arial" w:hAnsi="Arial"/>
          <w:b/>
          <w:bCs/>
          <w:color w:val="2E75B6"/>
          <w:sz w:val="24"/>
          <w:szCs w:val="24"/>
        </w:rPr>
        <w:t xml:space="preserve">2.3 Team and Working Environment</w:t>
      </w:r>
    </w:p>
    <w:p>
      <w:pPr>
        <w:spacing w:after="200"/>
        <w:jc w:val="both"/>
      </w:pPr>
      <w:r>
        <w:rPr>
          <w:rFonts w:ascii="Arial" w:cs="Arial" w:eastAsia="Arial" w:hAnsi="Arial"/>
          <w:sz w:val="24"/>
          <w:szCs w:val="24"/>
        </w:rPr>
        <w:t xml:space="preserve">Day-to-day supervision was provided by Khushi Mamgain (PhD student and co-first author of the manuscript under review). Khushi guided the scientific direction of the analyses and provided the processed Nanopore datasets used in Project 1. Additional input on the computational pipeline for Project 2 was provided by Dr. Bharath Ananthasubramaniam (collaborating computational biologist, based in Berlin), who contributed the starting pipeline scripts. Wet-lab and biochemistry validation of the findings is handled by Constanza, a lab member working on the experimental side of the project.</w:t>
      </w:r>
    </w:p>
    <w:p>
      <w:pPr>
        <w:spacing w:after="200"/>
        <w:jc w:val="both"/>
      </w:pPr>
      <w:r>
        <w:rPr>
          <w:rFonts w:ascii="Arial" w:cs="Arial" w:eastAsia="Arial" w:hAnsi="Arial"/>
          <w:sz w:val="24"/>
          <w:szCs w:val="24"/>
        </w:rPr>
        <w:t xml:space="preserve">For Project 2, the RNA-seq data used comes from a publicly available dataset on NCBI GEO (accession GSE171975), generated by the Asher lab (Aviram et al., 2021) from mouse liver samples at circadian time 20 (CT20), covering both wild-type and PerDKO conditions. The computational work of the internship was carried out on a laboratory-provided Mac workstation, using Bash, Python, and R, with version control managed through GitHub.</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Internship Report  |  Gricey Rangel Trejo  |  IGFL / ENS Lyon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2026-06-08T13:56:58.703Z</dcterms:created>
  <dcterms:modified xsi:type="dcterms:W3CDTF">2026-06-08T13:56:58.715Z</dcterms:modified>
</cp:coreProperties>
</file>

<file path=docProps/custom.xml><?xml version="1.0" encoding="utf-8"?>
<Properties xmlns="http://schemas.openxmlformats.org/officeDocument/2006/custom-properties" xmlns:vt="http://schemas.openxmlformats.org/officeDocument/2006/docPropsVTypes"/>
</file>