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E4DA6" w:rsidRDefault="00000000" w:rsidP="00BB6FBE">
      <w:pPr>
        <w:pStyle w:val="Heading1"/>
      </w:pPr>
      <w:r>
        <w:t>1. Introduction</w:t>
      </w:r>
    </w:p>
    <w:p w:rsidR="00EE4DA6" w:rsidRDefault="00000000">
      <w:pPr>
        <w:spacing w:after="200"/>
        <w:jc w:val="both"/>
      </w:pPr>
      <w:r>
        <w:t>This report describes the work carried out during a research internship at the Institut de Genomique Fonctionnelle de Lyon (IGFL), ENS Lyon, from April 27 to August 28, 2026, under the supervision of Dr. Kiran Padmanabhan (Research Director and Group Leader). The internship is part of a BSc in Bioinformatics (Licence Bioinformatique, Portail Informatique, Universite Claude Bernard Lyon 1).</w:t>
      </w:r>
    </w:p>
    <w:p w:rsidR="00EE4DA6" w:rsidRDefault="00000000">
      <w:pPr>
        <w:spacing w:after="200"/>
        <w:jc w:val="both"/>
      </w:pPr>
      <w:r>
        <w:t>At its core, biology is an information problem. DNA is a sequence (four characters long) read by molecular machines that can produce vastly different outputs depending on context. One gene, one sequence, yet a single cell can use it to generate dozens of distinct functional products. The mechanism behind this is called alternative splicing, and understanding which version of a gene product is made, when, and in response to what, is one of the central questions of modern biology.</w:t>
      </w:r>
    </w:p>
    <w:p w:rsidR="00EE4DA6" w:rsidRDefault="00000000">
      <w:pPr>
        <w:spacing w:after="200"/>
        <w:jc w:val="both"/>
      </w:pPr>
      <w:r>
        <w:t xml:space="preserve">This question is especially relevant in the context of circadian biology. The liver operates on a precise 24-hour internal clock, and recent research from the host laboratory suggests that this clock actively shapes which transcript variants are produced across the day. Disruption of the clock, through knockout of the </w:t>
      </w:r>
      <w:r>
        <w:rPr>
          <w:i/>
          <w:iCs/>
        </w:rPr>
        <w:t>Per1</w:t>
      </w:r>
      <w:r>
        <w:t xml:space="preserve"> and </w:t>
      </w:r>
      <w:r>
        <w:rPr>
          <w:i/>
          <w:iCs/>
        </w:rPr>
        <w:t>Per2</w:t>
      </w:r>
      <w:r>
        <w:t xml:space="preserve"> genes, leads to significant changes in this landscape. Characterizing those changes computationally is the central goal of this internship.</w:t>
      </w:r>
    </w:p>
    <w:p w:rsidR="00EE4DA6" w:rsidRDefault="00000000">
      <w:pPr>
        <w:spacing w:after="200"/>
        <w:jc w:val="both"/>
      </w:pPr>
      <w:r>
        <w:t>The internship is structured around two sequential projects. The first project explores the effect of a key SUPPA2 parameter (the splice site boundary mode) on the detected alternative splicing events, tracing how a single upstream choice propagates through the full pipeline and shapes the final output. The second, and main, project involves orthogonal validation of the laboratory's findings using publicly available Illumina short-read RNA-seq data. This report covers both projects, presenting the methods and results obtained so far, as well as the plan for the remaining internship period.</w:t>
      </w:r>
    </w:p>
    <w:p w:rsidR="00EE4DA6" w:rsidRDefault="00000000">
      <w:pPr>
        <w:pStyle w:val="Heading1"/>
      </w:pPr>
      <w:r>
        <w:t>2. Host Institution and Research Team</w:t>
      </w:r>
    </w:p>
    <w:p w:rsidR="00EE4DA6" w:rsidRDefault="00000000">
      <w:pPr>
        <w:pStyle w:val="Heading2"/>
      </w:pPr>
      <w:r>
        <w:t>2.1 Institut de Genomique Fonctionnelle de Lyon (IGFL)</w:t>
      </w:r>
    </w:p>
    <w:p w:rsidR="00EE4DA6" w:rsidRDefault="00000000">
      <w:pPr>
        <w:spacing w:after="200"/>
        <w:jc w:val="both"/>
      </w:pPr>
      <w:r>
        <w:t>The Institut de Genomique Fonctionnelle de Lyon (IGFL) is a joint research unit (UMR 5242) affiliated with the CNRS, the Ecole Normale Superieure de Lyon (ENS Lyon), and the Universite Claude Bernard Lyon 1. Located on the ENS Lyon campus in Lyon, France, it brings together research groups working on genomics, developmental biology, and evolutionary biology, with a shared interest in understanding how genes are regulated and what happens when that regulation changes.</w:t>
      </w:r>
    </w:p>
    <w:p w:rsidR="00EE4DA6" w:rsidRDefault="00000000">
      <w:pPr>
        <w:spacing w:after="200"/>
        <w:jc w:val="both"/>
      </w:pPr>
      <w:r>
        <w:t>The institute supports both experimental and computational research, with access to high-throughput sequencing, proteomics, and imaging platforms. This makes it a good fit for interdisciplinary projects that combine wet-lab biology with bioinformatics, which is the nature of the work described in this report.</w:t>
      </w:r>
    </w:p>
    <w:p w:rsidR="00EE4DA6" w:rsidRDefault="00000000">
      <w:pPr>
        <w:pStyle w:val="Heading2"/>
      </w:pPr>
      <w:r>
        <w:t>2.2 The Padmanabhan Research Group</w:t>
      </w:r>
    </w:p>
    <w:p w:rsidR="00EE4DA6" w:rsidRDefault="00000000">
      <w:pPr>
        <w:spacing w:after="200"/>
        <w:jc w:val="both"/>
      </w:pPr>
      <w:r>
        <w:t xml:space="preserve">The internship was carried out within the research group led by Dr. Kiran Padmanabhan (Research Director and Group Leader at IGFL). The group studies how the circadian clock, the internal 24-hour timer present in most cells, controls gene </w:t>
      </w:r>
      <w:r>
        <w:lastRenderedPageBreak/>
        <w:t>activity in the liver. A key focus is the relationship between the clock and RNA processing: not just which genes are turned on or off, but which version of a transcript is produced and how the clock shapes that choice over time. This includes the study of alternative splicing, chromatin organization, and the role of specific regulatory factors in connecting the two.</w:t>
      </w:r>
    </w:p>
    <w:p w:rsidR="00EE4DA6" w:rsidRDefault="00000000">
      <w:pPr>
        <w:spacing w:after="200"/>
        <w:jc w:val="both"/>
      </w:pPr>
      <w:r>
        <w:t xml:space="preserve">The RNA-seq data used in this project was generated from samples prepared by the Padmanabhan lab at IGFL and sequenced in collaboration with Prof. Yutaka Suzuki's group at the University of Tokyo, using Oxford Nanopore direct RNA sequencing. Wild-type mice were kept in 12-hour light/dark cycles, then transferred to constant darkness one day before tissue collection, to isolate the internal clock from external light cues. Liver samples were collected every 4 hours over 24 hours, covering circadian times CT0 through CT20. A separate group of mice with a double knockout of </w:t>
      </w:r>
      <w:r>
        <w:rPr>
          <w:i/>
          <w:iCs/>
        </w:rPr>
        <w:t>Per1</w:t>
      </w:r>
      <w:r>
        <w:t xml:space="preserve"> and </w:t>
      </w:r>
      <w:r>
        <w:rPr>
          <w:i/>
          <w:iCs/>
        </w:rPr>
        <w:t>Per2</w:t>
      </w:r>
      <w:r>
        <w:t xml:space="preserve"> (PerDKO), which have no functional circadian clock, were also kept in constant darkness and sampled at CT8 and CT20. This setup gives three conditions to compare computationally: wild-type at CT8, wild-type at CT20, and PerDKO at CT20.</w:t>
      </w:r>
    </w:p>
    <w:p w:rsidR="00EE4DA6" w:rsidRDefault="00000000">
      <w:pPr>
        <w:spacing w:after="200"/>
        <w:jc w:val="both"/>
      </w:pPr>
      <w:r>
        <w:t>The group's most recent findings, currently under review for publication (Chikhaoui, Mamgain et al., unpublished), show that PERIOD proteins influence how splicing regulatory factors are recruited to chromatin, and that this has measurable consequences on which transcript isoforms are produced across the circadian cycle. The computational validation of these findings is the main goal of Project 2 of this internship.</w:t>
      </w:r>
    </w:p>
    <w:p w:rsidR="00EE4DA6" w:rsidRDefault="00000000">
      <w:pPr>
        <w:pStyle w:val="Heading2"/>
      </w:pPr>
      <w:r>
        <w:t>2.3 Team and Working Environment</w:t>
      </w:r>
    </w:p>
    <w:p w:rsidR="00EE4DA6" w:rsidRDefault="00000000">
      <w:pPr>
        <w:spacing w:after="200"/>
        <w:jc w:val="both"/>
      </w:pPr>
      <w:r>
        <w:t>Day-to-day supervision was provided by Khushi Mamgain (PhD student and co-first author of the manuscript under review), who guided the scientific direction of the analyses and provided the processed Nanopore datasets used in Project 1. Additional input on the computational pipeline for Project 2 was provided by Dr. Bharath Ananthasubramaniam (collaborating computational biologist, based in Berlin), who contributed the starting pipeline scripts. Wet-lab and biochemistry validation of the manuscript's findings is handled by Constanza, a lab member working on the experimental side of the project.</w:t>
      </w:r>
    </w:p>
    <w:p w:rsidR="00EE4DA6" w:rsidRDefault="00000000">
      <w:pPr>
        <w:spacing w:after="200"/>
        <w:jc w:val="both"/>
      </w:pPr>
      <w:r>
        <w:t>For Project 2, the RNA-seq data comes from a publicly available dataset on NCBI GEO (accession GSE171975), generated by the Asher lab (Aviram et al., 2021) from mouse liver samples at CT20, covering both wild-type and PerDKO conditions. The computational work was carried out on a laboratory-provided Mac workstation, using Bash and Python, with version control managed through GitHub.</w:t>
      </w:r>
    </w:p>
    <w:p w:rsidR="00EE4DA6" w:rsidRDefault="00000000">
      <w:pPr>
        <w:pStyle w:val="Heading1"/>
      </w:pPr>
      <w:r>
        <w:t>3. Scientific and Technical Background</w:t>
      </w:r>
    </w:p>
    <w:p w:rsidR="00EE4DA6" w:rsidRDefault="00000000">
      <w:pPr>
        <w:pStyle w:val="Heading2"/>
      </w:pPr>
      <w:r>
        <w:t>3.1 From gene to isoform: the central dogma and alternative splicing</w:t>
      </w:r>
    </w:p>
    <w:p w:rsidR="00EE4DA6" w:rsidRDefault="00000000">
      <w:pPr>
        <w:spacing w:after="200"/>
        <w:jc w:val="both"/>
      </w:pPr>
      <w:r>
        <w:t xml:space="preserve">To understand the computational work carried out in this internship, it helps to have a basic picture of how genetic information flows in a cell. A gene is a region of DNA that encodes a functional product. When a gene is activated, the DNA is first transcribed into a precursor RNA molecule called pre-mRNA. This pre-mRNA contains both coding regions (exons) and non-coding regions (introns). Before the molecule can be used by the cell, the introns are removed and the exons are joined together in a </w:t>
      </w:r>
      <w:r>
        <w:lastRenderedPageBreak/>
        <w:t>process called splicing, producing a mature messenger RNA (mRNA). The mRNA is then translated into a protein.</w:t>
      </w:r>
    </w:p>
    <w:p w:rsidR="00EE4DA6" w:rsidRDefault="00000000">
      <w:pPr>
        <w:spacing w:before="200" w:after="80"/>
        <w:jc w:val="center"/>
      </w:pPr>
      <w:r>
        <w:rPr>
          <w:i/>
          <w:iCs/>
          <w:color w:val="888888"/>
          <w:sz w:val="22"/>
          <w:szCs w:val="22"/>
        </w:rPr>
        <w:t>[ Figure 1: central dogma — insert fig1_central_dogma.png here ]</w:t>
      </w:r>
    </w:p>
    <w:p w:rsidR="00EE4DA6" w:rsidRDefault="00000000">
      <w:pPr>
        <w:spacing w:after="200"/>
        <w:jc w:val="center"/>
      </w:pPr>
      <w:r>
        <w:rPr>
          <w:i/>
          <w:iCs/>
          <w:color w:val="555555"/>
          <w:sz w:val="20"/>
          <w:szCs w:val="20"/>
        </w:rPr>
        <w:t>Figure 1. Central dogma of molecular biology. A = DNA (gene), B = pre-mRNA, C = mature mRNA isoform, D = protein. One gene can produce multiple isoforms via alternative splicing. Original figure.</w:t>
      </w:r>
    </w:p>
    <w:p w:rsidR="00EE4DA6" w:rsidRDefault="00000000">
      <w:pPr>
        <w:spacing w:after="200"/>
        <w:jc w:val="both"/>
      </w:pPr>
      <w:r>
        <w:t>What makes this process particularly interesting from a computational standpoint is that the splicing step is not always identical. Different combinations of exons can be joined, producing distinct transcript isoforms from the same gene. This is called alternative splicing (AS). Of all human genes, only 5% consist of a single exon, and more than 90% are alternatively spliced (Gehring and Roignant, 2021), making it one of the main mechanisms by which a compact genome can generate a large diversity of functional products.</w:t>
      </w:r>
    </w:p>
    <w:p w:rsidR="00EE4DA6" w:rsidRDefault="00000000">
      <w:pPr>
        <w:spacing w:after="200"/>
        <w:jc w:val="both"/>
      </w:pPr>
      <w:r>
        <w:t>SUPPA2 detects and quantifies seven types of alternative splicing events from a reference transcriptome annotation (Trincado et al., 2018; Alamancos et al., 2015). Each event type describes a different way in which the splicing of a pre-mRNA can vary between two isoforms:</w:t>
      </w:r>
    </w:p>
    <w:p w:rsidR="00EE4DA6" w:rsidRDefault="00000000">
      <w:pPr>
        <w:spacing w:before="200" w:after="80"/>
        <w:jc w:val="center"/>
      </w:pPr>
      <w:r>
        <w:rPr>
          <w:i/>
          <w:iCs/>
          <w:color w:val="888888"/>
          <w:sz w:val="22"/>
          <w:szCs w:val="22"/>
        </w:rPr>
        <w:t>[ Figure 2: SUPPA2 event types — insert SUPPA2 GitHub Fig 2 here ]</w:t>
      </w:r>
    </w:p>
    <w:p w:rsidR="00EE4DA6" w:rsidRDefault="00000000">
      <w:pPr>
        <w:spacing w:after="200"/>
        <w:jc w:val="center"/>
      </w:pPr>
      <w:r>
        <w:rPr>
          <w:i/>
          <w:iCs/>
          <w:color w:val="555555"/>
          <w:sz w:val="20"/>
          <w:szCs w:val="20"/>
        </w:rPr>
        <w:t>Figure 2. The seven alternative splicing event types defined by SUPPA2, with their genomic coordinates. Adapted from Alamancos et al., 2015 / SUPPA2 GitHub repository (github.com/comprna/SUPPA).</w:t>
      </w:r>
    </w:p>
    <w:p w:rsidR="00EE4DA6" w:rsidRDefault="00000000">
      <w:pPr>
        <w:spacing w:before="100" w:after="80"/>
        <w:jc w:val="both"/>
      </w:pPr>
      <w:r>
        <w:rPr>
          <w:b/>
          <w:bCs/>
        </w:rPr>
        <w:t>Skipped exon (SE)</w:t>
      </w:r>
      <w:r>
        <w:t>: an exon present in one isoform is completely absent in the other. Exon skipping is among the most common event types in mammals (Chikhaoui, 2022).</w:t>
      </w:r>
    </w:p>
    <w:p w:rsidR="00EE4DA6" w:rsidRDefault="00000000">
      <w:pPr>
        <w:spacing w:before="100" w:after="80"/>
        <w:jc w:val="both"/>
      </w:pPr>
      <w:r>
        <w:rPr>
          <w:b/>
          <w:bCs/>
        </w:rPr>
        <w:t>Retained intron (RI)</w:t>
      </w:r>
      <w:r>
        <w:t>: an intronic region that is normally removed stays in the mature mRNA, often rendering the transcript non-functional (Chikhaoui, 2022).</w:t>
      </w:r>
    </w:p>
    <w:p w:rsidR="00EE4DA6" w:rsidRDefault="00000000">
      <w:pPr>
        <w:spacing w:before="100" w:after="80"/>
        <w:jc w:val="both"/>
      </w:pPr>
      <w:r>
        <w:rPr>
          <w:b/>
          <w:bCs/>
        </w:rPr>
        <w:t>Alternative 3' splice site (A3)</w:t>
      </w:r>
      <w:r>
        <w:t>: the boundary at the 3' end of an intron is shifted, producing an exon that is longer or shorter in one isoform.</w:t>
      </w:r>
    </w:p>
    <w:p w:rsidR="00EE4DA6" w:rsidRDefault="00000000">
      <w:pPr>
        <w:spacing w:before="100" w:after="80"/>
        <w:jc w:val="both"/>
      </w:pPr>
      <w:r>
        <w:rPr>
          <w:b/>
          <w:bCs/>
        </w:rPr>
        <w:t>Alternative 5' splice site (A5)</w:t>
      </w:r>
      <w:r>
        <w:t>: same as A3 but at the 5' end of the intron.</w:t>
      </w:r>
    </w:p>
    <w:p w:rsidR="00EE4DA6" w:rsidRDefault="00000000">
      <w:pPr>
        <w:spacing w:before="100" w:after="80"/>
        <w:jc w:val="both"/>
      </w:pPr>
      <w:r>
        <w:rPr>
          <w:b/>
          <w:bCs/>
        </w:rPr>
        <w:t>Mutually exclusive exons (MX)</w:t>
      </w:r>
      <w:r>
        <w:t>: two exons exist in the gene, but only one can appear in any given isoform.</w:t>
      </w:r>
    </w:p>
    <w:p w:rsidR="00EE4DA6" w:rsidRDefault="00000000">
      <w:pPr>
        <w:spacing w:before="100" w:after="80"/>
        <w:jc w:val="both"/>
      </w:pPr>
      <w:r>
        <w:rPr>
          <w:b/>
          <w:bCs/>
        </w:rPr>
        <w:t>Alternative first exon (AF)</w:t>
      </w:r>
      <w:r>
        <w:t>: the first exon of the transcript differs between isoforms, affecting the transcription start site.</w:t>
      </w:r>
    </w:p>
    <w:p w:rsidR="00EE4DA6" w:rsidRDefault="00000000">
      <w:pPr>
        <w:spacing w:after="200"/>
        <w:jc w:val="both"/>
      </w:pPr>
      <w:r>
        <w:rPr>
          <w:b/>
          <w:bCs/>
        </w:rPr>
        <w:t>Alternative last exon (AL)</w:t>
      </w:r>
      <w:r>
        <w:t>: the last exon of the transcript differs between isoforms, affecting the transcription end site.</w:t>
      </w:r>
    </w:p>
    <w:p w:rsidR="00EE4DA6" w:rsidRDefault="00000000">
      <w:pPr>
        <w:spacing w:after="200"/>
        <w:jc w:val="both"/>
      </w:pPr>
      <w:r>
        <w:t>In this project, the analysis focused on three of these seven types: A3, A5, and RI. SE and MX were detected but showed no sensitivity to the boundary parameter explored in Project 1, and AF and AL were outside the scope of the comparison.</w:t>
      </w:r>
    </w:p>
    <w:p w:rsidR="00EE4DA6" w:rsidRDefault="00000000">
      <w:pPr>
        <w:spacing w:after="200"/>
        <w:jc w:val="both"/>
      </w:pPr>
      <w:r>
        <w:t>The quantification of how often each isoform is produced is captured by the PSI (Percent Spliced In) metric. PSI is a value between 0 and 1 representing the proportion of transcripts at a given locus that include a particular splicing event. A PSI of 0 means the event is never included; a PSI of 1 means it is always included. When comparing two conditions, the difference in PSI (dPSI) quantifies how much the splicing changes between them. This is the core metric used throughout both projects.</w:t>
      </w:r>
    </w:p>
    <w:p w:rsidR="00EE4DA6" w:rsidRDefault="00000000">
      <w:pPr>
        <w:spacing w:before="200" w:after="80"/>
        <w:jc w:val="center"/>
      </w:pPr>
      <w:r>
        <w:rPr>
          <w:i/>
          <w:iCs/>
          <w:color w:val="888888"/>
          <w:sz w:val="22"/>
          <w:szCs w:val="22"/>
        </w:rPr>
        <w:t>[ Figure 3: PSI metric — insert SUPPA2 GitHub Fig 3 here ]</w:t>
      </w:r>
    </w:p>
    <w:p w:rsidR="00EE4DA6" w:rsidRDefault="00000000">
      <w:pPr>
        <w:spacing w:after="200"/>
        <w:jc w:val="center"/>
      </w:pPr>
      <w:r>
        <w:rPr>
          <w:i/>
          <w:iCs/>
          <w:color w:val="555555"/>
          <w:sz w:val="20"/>
          <w:szCs w:val="20"/>
        </w:rPr>
        <w:lastRenderedPageBreak/>
        <w:t>Figure 3. The PSI (Percent Spliced In) metric as defined by SUPPA2. Adapted from Alamancos et al., 2015 / SUPPA2 GitHub repository (github.com/comprna/SUPPA).</w:t>
      </w:r>
    </w:p>
    <w:p w:rsidR="00EE4DA6" w:rsidRDefault="00000000">
      <w:pPr>
        <w:pStyle w:val="Heading2"/>
      </w:pPr>
      <w:r>
        <w:t>3.2 Circadian context: why alternative splicing matters here</w:t>
      </w:r>
    </w:p>
    <w:p w:rsidR="00EE4DA6" w:rsidRDefault="00000000">
      <w:pPr>
        <w:spacing w:after="200"/>
        <w:jc w:val="both"/>
      </w:pPr>
      <w:r>
        <w:t xml:space="preserve">The circadian clock is a molecular feedback loop present in most cells of the body. In the liver, this clock coordinates gene expression over a 24-hour cycle, regulating metabolism, detoxification, and other functions. Previous work from the host laboratory showed that the proteins encoded by the </w:t>
      </w:r>
      <w:r>
        <w:rPr>
          <w:i/>
          <w:iCs/>
        </w:rPr>
        <w:t>Per1</w:t>
      </w:r>
      <w:r>
        <w:t xml:space="preserve"> and </w:t>
      </w:r>
      <w:r>
        <w:rPr>
          <w:i/>
          <w:iCs/>
        </w:rPr>
        <w:t>Per2</w:t>
      </w:r>
      <w:r>
        <w:t xml:space="preserve"> clock genes do not only control transcription, they also influence how splicing regulatory factors are recruited to chromatin. When these proteins are knocked out (PerDKO mice), the splicing landscape of the liver is significantly altered (Chikhaoui, Mamgain et al., unpublished). Earlier analysis using Nanopore long-read sequencing identified hundreds of mis-regulated alternative splicing events in PerDKO mice compared to wild-type, with the strongest signal at CT20 (Chikhaoui, 2022).</w:t>
      </w:r>
    </w:p>
    <w:p w:rsidR="00EE4DA6" w:rsidRDefault="00000000">
      <w:pPr>
        <w:spacing w:after="200"/>
        <w:jc w:val="both"/>
      </w:pPr>
      <w:r>
        <w:t>The computational work in this internship sits directly within this context. Project 1 explores the parameter space of the tool used to detect those splicing events. Project 2 aims to validate the findings using an independent dataset generated with a different sequencing technology.</w:t>
      </w:r>
    </w:p>
    <w:p w:rsidR="00EE4DA6" w:rsidRDefault="00000000">
      <w:pPr>
        <w:pStyle w:val="Heading2"/>
      </w:pPr>
      <w:r>
        <w:t>3.3 Two sequencing technologies: Nanopore and Illumina</w:t>
      </w:r>
    </w:p>
    <w:p w:rsidR="00EE4DA6" w:rsidRDefault="00000000">
      <w:pPr>
        <w:spacing w:after="200"/>
        <w:jc w:val="both"/>
      </w:pPr>
      <w:r>
        <w:t>Both projects involve RNA-seq data, but from two different sequencing platforms. Understanding the difference between them is important for understanding why an orthogonal validation is needed.</w:t>
      </w:r>
    </w:p>
    <w:p w:rsidR="00EE4DA6" w:rsidRDefault="00EE4DA6">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3450"/>
        <w:gridCol w:w="3488"/>
      </w:tblGrid>
      <w:tr w:rsidR="00EE4DA6">
        <w:tblPrEx>
          <w:tblCellMar>
            <w:top w:w="0" w:type="dxa"/>
            <w:bottom w:w="0" w:type="dxa"/>
          </w:tblCellMar>
        </w:tblPrEx>
        <w:tc>
          <w:tcPr>
            <w:tcW w:w="0" w:type="auto"/>
            <w:shd w:val="clear" w:color="auto" w:fill="2E75B6"/>
            <w:tcMar>
              <w:top w:w="80" w:type="dxa"/>
              <w:left w:w="120" w:type="dxa"/>
              <w:bottom w:w="80" w:type="dxa"/>
              <w:right w:w="120" w:type="dxa"/>
            </w:tcMar>
          </w:tcPr>
          <w:p w:rsidR="00EE4DA6" w:rsidRDefault="00EE4DA6"/>
        </w:tc>
        <w:tc>
          <w:tcPr>
            <w:tcW w:w="0" w:type="auto"/>
            <w:shd w:val="clear" w:color="auto" w:fill="2E75B6"/>
            <w:tcMar>
              <w:top w:w="80" w:type="dxa"/>
              <w:left w:w="120" w:type="dxa"/>
              <w:bottom w:w="80" w:type="dxa"/>
              <w:right w:w="120" w:type="dxa"/>
            </w:tcMar>
          </w:tcPr>
          <w:p w:rsidR="00EE4DA6" w:rsidRDefault="00000000">
            <w:r>
              <w:rPr>
                <w:b/>
                <w:bCs/>
                <w:color w:val="FFFFFF"/>
                <w:sz w:val="20"/>
                <w:szCs w:val="20"/>
              </w:rPr>
              <w:t>Nanopore (long-read)</w:t>
            </w:r>
          </w:p>
        </w:tc>
        <w:tc>
          <w:tcPr>
            <w:tcW w:w="0" w:type="auto"/>
            <w:shd w:val="clear" w:color="auto" w:fill="2E75B6"/>
            <w:tcMar>
              <w:top w:w="80" w:type="dxa"/>
              <w:left w:w="120" w:type="dxa"/>
              <w:bottom w:w="80" w:type="dxa"/>
              <w:right w:w="120" w:type="dxa"/>
            </w:tcMar>
          </w:tcPr>
          <w:p w:rsidR="00EE4DA6" w:rsidRDefault="00000000">
            <w:r>
              <w:rPr>
                <w:b/>
                <w:bCs/>
                <w:color w:val="FFFFFF"/>
                <w:sz w:val="20"/>
                <w:szCs w:val="20"/>
              </w:rPr>
              <w:t>Illumina (short-read)</w:t>
            </w:r>
          </w:p>
        </w:tc>
      </w:tr>
      <w:tr w:rsidR="00EE4DA6">
        <w:tblPrEx>
          <w:tblCellMar>
            <w:top w:w="0" w:type="dxa"/>
            <w:bottom w:w="0" w:type="dxa"/>
          </w:tblCellMar>
        </w:tblPrEx>
        <w:tc>
          <w:tcPr>
            <w:tcW w:w="0" w:type="auto"/>
            <w:shd w:val="clear" w:color="auto" w:fill="FFFFFF"/>
            <w:tcMar>
              <w:top w:w="80" w:type="dxa"/>
              <w:left w:w="120" w:type="dxa"/>
              <w:bottom w:w="80" w:type="dxa"/>
              <w:right w:w="120" w:type="dxa"/>
            </w:tcMar>
          </w:tcPr>
          <w:p w:rsidR="00EE4DA6" w:rsidRDefault="00000000">
            <w:r>
              <w:rPr>
                <w:color w:val="000000"/>
                <w:sz w:val="20"/>
                <w:szCs w:val="20"/>
              </w:rPr>
              <w:t>Read length</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Up to ~50,000 nt</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~150 nt</w:t>
            </w:r>
          </w:p>
        </w:tc>
      </w:tr>
      <w:tr w:rsidR="00EE4DA6">
        <w:tblPrEx>
          <w:tblCellMar>
            <w:top w:w="0" w:type="dxa"/>
            <w:bottom w:w="0" w:type="dxa"/>
          </w:tblCellMar>
        </w:tblPrEx>
        <w:tc>
          <w:tcPr>
            <w:tcW w:w="0" w:type="auto"/>
            <w:shd w:val="clear" w:color="auto" w:fill="FFFFFF"/>
            <w:tcMar>
              <w:top w:w="80" w:type="dxa"/>
              <w:left w:w="120" w:type="dxa"/>
              <w:bottom w:w="80" w:type="dxa"/>
              <w:right w:w="120" w:type="dxa"/>
            </w:tcMar>
          </w:tcPr>
          <w:p w:rsidR="00EE4DA6" w:rsidRDefault="00000000">
            <w:r>
              <w:rPr>
                <w:color w:val="000000"/>
                <w:sz w:val="20"/>
                <w:szCs w:val="20"/>
              </w:rPr>
              <w:t>Output</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Full-length isoforms</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Short fragments</w:t>
            </w:r>
          </w:p>
        </w:tc>
      </w:tr>
      <w:tr w:rsidR="00EE4DA6">
        <w:tblPrEx>
          <w:tblCellMar>
            <w:top w:w="0" w:type="dxa"/>
            <w:bottom w:w="0" w:type="dxa"/>
          </w:tblCellMar>
        </w:tblPrEx>
        <w:tc>
          <w:tcPr>
            <w:tcW w:w="0" w:type="auto"/>
            <w:shd w:val="clear" w:color="auto" w:fill="FFFFFF"/>
            <w:tcMar>
              <w:top w:w="80" w:type="dxa"/>
              <w:left w:w="120" w:type="dxa"/>
              <w:bottom w:w="80" w:type="dxa"/>
              <w:right w:w="120" w:type="dxa"/>
            </w:tcMar>
          </w:tcPr>
          <w:p w:rsidR="00EE4DA6" w:rsidRDefault="00000000">
            <w:r>
              <w:rPr>
                <w:color w:val="000000"/>
                <w:sz w:val="20"/>
                <w:szCs w:val="20"/>
              </w:rPr>
              <w:t>Isoform detection</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Direct, unambiguous</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Inferred from fragments</w:t>
            </w:r>
          </w:p>
        </w:tc>
      </w:tr>
      <w:tr w:rsidR="00EE4DA6">
        <w:tblPrEx>
          <w:tblCellMar>
            <w:top w:w="0" w:type="dxa"/>
            <w:bottom w:w="0" w:type="dxa"/>
          </w:tblCellMar>
        </w:tblPrEx>
        <w:tc>
          <w:tcPr>
            <w:tcW w:w="0" w:type="auto"/>
            <w:shd w:val="clear" w:color="auto" w:fill="FFFFFF"/>
            <w:tcMar>
              <w:top w:w="80" w:type="dxa"/>
              <w:left w:w="120" w:type="dxa"/>
              <w:bottom w:w="80" w:type="dxa"/>
              <w:right w:w="120" w:type="dxa"/>
            </w:tcMar>
          </w:tcPr>
          <w:p w:rsidR="00EE4DA6" w:rsidRDefault="00000000">
            <w:r>
              <w:rPr>
                <w:color w:val="000000"/>
                <w:sz w:val="20"/>
                <w:szCs w:val="20"/>
              </w:rPr>
              <w:t>Sequencing depth</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Lower</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Higher</w:t>
            </w:r>
          </w:p>
        </w:tc>
      </w:tr>
      <w:tr w:rsidR="00EE4DA6">
        <w:tblPrEx>
          <w:tblCellMar>
            <w:top w:w="0" w:type="dxa"/>
            <w:bottom w:w="0" w:type="dxa"/>
          </w:tblCellMar>
        </w:tblPrEx>
        <w:tc>
          <w:tcPr>
            <w:tcW w:w="0" w:type="auto"/>
            <w:shd w:val="clear" w:color="auto" w:fill="FFFFFF"/>
            <w:tcMar>
              <w:top w:w="80" w:type="dxa"/>
              <w:left w:w="120" w:type="dxa"/>
              <w:bottom w:w="80" w:type="dxa"/>
              <w:right w:w="120" w:type="dxa"/>
            </w:tcMar>
          </w:tcPr>
          <w:p w:rsidR="00EE4DA6" w:rsidRDefault="00000000">
            <w:r>
              <w:rPr>
                <w:color w:val="000000"/>
                <w:sz w:val="20"/>
                <w:szCs w:val="20"/>
              </w:rPr>
              <w:t>Error rate</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Higher (raw reads)</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Lower</w:t>
            </w:r>
          </w:p>
        </w:tc>
      </w:tr>
      <w:tr w:rsidR="00EE4DA6">
        <w:tblPrEx>
          <w:tblCellMar>
            <w:top w:w="0" w:type="dxa"/>
            <w:bottom w:w="0" w:type="dxa"/>
          </w:tblCellMar>
        </w:tblPrEx>
        <w:tc>
          <w:tcPr>
            <w:tcW w:w="0" w:type="auto"/>
            <w:shd w:val="clear" w:color="auto" w:fill="FFFFFF"/>
            <w:tcMar>
              <w:top w:w="80" w:type="dxa"/>
              <w:left w:w="120" w:type="dxa"/>
              <w:bottom w:w="80" w:type="dxa"/>
              <w:right w:w="120" w:type="dxa"/>
            </w:tcMar>
          </w:tcPr>
          <w:p w:rsidR="00EE4DA6" w:rsidRDefault="00000000">
            <w:r>
              <w:rPr>
                <w:color w:val="000000"/>
                <w:sz w:val="20"/>
                <w:szCs w:val="20"/>
              </w:rPr>
              <w:t>Use in this project</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Primary splicing data (Project 1)</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Orthogonal validation (Project 2)</w:t>
            </w:r>
          </w:p>
        </w:tc>
      </w:tr>
    </w:tbl>
    <w:p w:rsidR="00EE4DA6" w:rsidRDefault="00EE4DA6">
      <w:pPr>
        <w:spacing w:before="120" w:after="120"/>
      </w:pPr>
    </w:p>
    <w:p w:rsidR="00EE4DA6" w:rsidRDefault="00000000">
      <w:pPr>
        <w:spacing w:after="200"/>
        <w:jc w:val="both"/>
      </w:pPr>
      <w:r>
        <w:t>Nanopore long-read sequencing reads entire RNA molecules from end to end, producing reads that can span thousands of nucleotides. This makes it possible to directly observe which exons are present in a single transcript without having to reconstruct isoforms from short fragments. Benchmarking studies have shown that long-read data improves read-to-transcript assignment and transcript-level abundance estimation compared to short reads, particularly for genes with many similar isoforms (Chen et al., 2021). Illumina short-read sequencing, by contrast, produces millions of short fragments (around 150 nucleotides each) that must be mapped back to a reference to infer which isoforms were present. However, Illumina data is much deeper and more widely available in public repositories.</w:t>
      </w:r>
    </w:p>
    <w:p w:rsidR="00EE4DA6" w:rsidRDefault="00000000">
      <w:pPr>
        <w:spacing w:after="200"/>
        <w:jc w:val="both"/>
      </w:pPr>
      <w:r>
        <w:lastRenderedPageBreak/>
        <w:t>Early applications of Nanopore sequencing to mouse liver transcriptomics were limited to relatively low read numbers, around 500,000 reads (Sessegolo et al., 2019). The dataset used in this project, generated by the Padmanabhan lab in collaboration with the University of Tokyo, contains approximately 70 million reads (Chikhaoui, Mamgain et al., unpublished), representing a substantial increase in depth that enables a much more comprehensive view of the splicing landscape.</w:t>
      </w:r>
    </w:p>
    <w:p w:rsidR="00EE4DA6" w:rsidRDefault="00000000">
      <w:pPr>
        <w:spacing w:after="200"/>
        <w:jc w:val="both"/>
      </w:pPr>
      <w:r>
        <w:t>The key point for this project is that both platforms are measuring the same biological phenomenon from different angles. If the splicing events detected from Nanopore data are also detectable in independent Illumina data from a comparable experiment, that is strong evidence that the findings reflect real biology rather than technical artifacts of the sequencing method.</w:t>
      </w:r>
    </w:p>
    <w:p w:rsidR="00EE4DA6" w:rsidRDefault="00000000">
      <w:pPr>
        <w:pStyle w:val="Heading2"/>
      </w:pPr>
      <w:r>
        <w:t>3.4 Key tools</w:t>
      </w:r>
    </w:p>
    <w:p w:rsidR="00EE4DA6" w:rsidRDefault="00000000">
      <w:pPr>
        <w:spacing w:after="200"/>
        <w:jc w:val="both"/>
      </w:pPr>
      <w:r>
        <w:rPr>
          <w:b/>
          <w:bCs/>
        </w:rPr>
        <w:t>SUPPA2</w:t>
      </w:r>
      <w:r>
        <w:t xml:space="preserve"> is the main splicing analysis tool used in both projects (Trincado et al., 2018). It was chosen because it is already established in the laboratory's workflow (Chikhaoui, 2022) and is specifically designed for transcript-level splicing quantification. Given a reference transcriptome annotation (a GTF file), SUPPA2 first catalogs all possible alternative splicing events, then computes PSI values from transcript expression estimates, and finally runs a statistical test (diffSplice) to identify events significantly different between conditions. The reference annotation used is a custom GTF derived from the laboratory's Nanopore data, built on the mouse genome assembly GRCm39 (mm39), and containing 155,263 transcripts including novel isoforms (Chikhaoui, 2022).</w:t>
      </w:r>
    </w:p>
    <w:p w:rsidR="00EE4DA6" w:rsidRDefault="00000000">
      <w:pPr>
        <w:spacing w:after="200"/>
        <w:jc w:val="both"/>
      </w:pPr>
      <w:r>
        <w:rPr>
          <w:b/>
          <w:bCs/>
        </w:rPr>
        <w:t>Salmon</w:t>
      </w:r>
      <w:r>
        <w:t xml:space="preserve"> is a transcript quantification tool (Patro et al., 2017) that estimates how much each transcript is expressed (in TPM) from RNA-seq reads and a reference transcriptome. It uses a lightweight alignment approach that is very fast compared to traditional aligners. Its output feeds directly into SUPPA2 for PSI computation.</w:t>
      </w:r>
    </w:p>
    <w:p w:rsidR="00EE4DA6" w:rsidRDefault="00000000">
      <w:pPr>
        <w:spacing w:after="200"/>
        <w:jc w:val="both"/>
      </w:pPr>
      <w:r>
        <w:rPr>
          <w:b/>
          <w:bCs/>
        </w:rPr>
        <w:t>IGV (Integrative Genomics Viewer)</w:t>
      </w:r>
      <w:r>
        <w:t xml:space="preserve"> is a genome browser (Robinson et al., 2011) used to visually inspect splicing events at specific loci. After identifying candidate events computationally, IGV was used to verify that the transcript structures detected by SUPPA2 were consistent with the underlying read data.</w:t>
      </w:r>
    </w:p>
    <w:p w:rsidR="00EE4DA6" w:rsidRDefault="00000000">
      <w:pPr>
        <w:spacing w:after="200"/>
        <w:jc w:val="both"/>
      </w:pPr>
      <w:r>
        <w:rPr>
          <w:b/>
          <w:bCs/>
        </w:rPr>
        <w:t>Bash</w:t>
      </w:r>
      <w:r>
        <w:t xml:space="preserve"> was used for all pipeline automation. It is the standard scripting language in bioinformatics for orchestrating multi-step tools on large data files, and is widely used in high-performance computing environments.</w:t>
      </w:r>
    </w:p>
    <w:p w:rsidR="00EE4DA6" w:rsidRDefault="00000000">
      <w:pPr>
        <w:spacing w:after="200"/>
        <w:jc w:val="both"/>
      </w:pPr>
      <w:r>
        <w:rPr>
          <w:b/>
          <w:bCs/>
        </w:rPr>
        <w:t>Python</w:t>
      </w:r>
      <w:r>
        <w:t xml:space="preserve"> was used for all data analysis and visualization, implemented in Jupyter notebooks. Bioinformatics commonly relies on R for statistical analysis, and coursework at UCBL included R extensively. Python was chosen here deliberately: it offered an opportunity to apply a language from the CS curriculum to a biological problem, and the pandas and matplotlib ecosystem is well suited to the tabular data formats produced by SUPPA2.</w:t>
      </w:r>
    </w:p>
    <w:p w:rsidR="00EE4DA6" w:rsidRDefault="00000000">
      <w:pPr>
        <w:pStyle w:val="Heading1"/>
      </w:pPr>
      <w:r>
        <w:t>4. Computational Environment and Project Organization</w:t>
      </w:r>
    </w:p>
    <w:p w:rsidR="00EE4DA6" w:rsidRDefault="00000000">
      <w:pPr>
        <w:pStyle w:val="Heading2"/>
      </w:pPr>
      <w:r>
        <w:t>4.1 Software and tools</w:t>
      </w:r>
    </w:p>
    <w:p w:rsidR="00EE4DA6" w:rsidRDefault="00000000">
      <w:pPr>
        <w:spacing w:after="200"/>
        <w:jc w:val="both"/>
      </w:pPr>
      <w:r>
        <w:t>The table below summarizes the main tools and languages used throughout the internship.</w:t>
      </w:r>
    </w:p>
    <w:p w:rsidR="00EE4DA6" w:rsidRDefault="00EE4DA6">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1958"/>
        <w:gridCol w:w="5289"/>
      </w:tblGrid>
      <w:tr w:rsidR="00EE4DA6">
        <w:tblPrEx>
          <w:tblCellMar>
            <w:top w:w="0" w:type="dxa"/>
            <w:bottom w:w="0" w:type="dxa"/>
          </w:tblCellMar>
        </w:tblPrEx>
        <w:tc>
          <w:tcPr>
            <w:tcW w:w="0" w:type="auto"/>
            <w:shd w:val="clear" w:color="auto" w:fill="2E75B6"/>
            <w:tcMar>
              <w:top w:w="80" w:type="dxa"/>
              <w:left w:w="120" w:type="dxa"/>
              <w:bottom w:w="80" w:type="dxa"/>
              <w:right w:w="120" w:type="dxa"/>
            </w:tcMar>
          </w:tcPr>
          <w:p w:rsidR="00EE4DA6" w:rsidRDefault="00000000">
            <w:r>
              <w:rPr>
                <w:b/>
                <w:bCs/>
                <w:color w:val="FFFFFF"/>
                <w:sz w:val="20"/>
                <w:szCs w:val="20"/>
              </w:rPr>
              <w:t>Tool / Language</w:t>
            </w:r>
          </w:p>
        </w:tc>
        <w:tc>
          <w:tcPr>
            <w:tcW w:w="0" w:type="auto"/>
            <w:shd w:val="clear" w:color="auto" w:fill="2E75B6"/>
            <w:tcMar>
              <w:top w:w="80" w:type="dxa"/>
              <w:left w:w="120" w:type="dxa"/>
              <w:bottom w:w="80" w:type="dxa"/>
              <w:right w:w="120" w:type="dxa"/>
            </w:tcMar>
          </w:tcPr>
          <w:p w:rsidR="00EE4DA6" w:rsidRDefault="00000000">
            <w:r>
              <w:rPr>
                <w:b/>
                <w:bCs/>
                <w:color w:val="FFFFFF"/>
                <w:sz w:val="20"/>
                <w:szCs w:val="20"/>
              </w:rPr>
              <w:t>Version</w:t>
            </w:r>
          </w:p>
        </w:tc>
        <w:tc>
          <w:tcPr>
            <w:tcW w:w="0" w:type="auto"/>
            <w:shd w:val="clear" w:color="auto" w:fill="2E75B6"/>
            <w:tcMar>
              <w:top w:w="80" w:type="dxa"/>
              <w:left w:w="120" w:type="dxa"/>
              <w:bottom w:w="80" w:type="dxa"/>
              <w:right w:w="120" w:type="dxa"/>
            </w:tcMar>
          </w:tcPr>
          <w:p w:rsidR="00EE4DA6" w:rsidRDefault="00000000">
            <w:r>
              <w:rPr>
                <w:b/>
                <w:bCs/>
                <w:color w:val="FFFFFF"/>
                <w:sz w:val="20"/>
                <w:szCs w:val="20"/>
              </w:rPr>
              <w:t>Role in the project</w:t>
            </w:r>
          </w:p>
        </w:tc>
      </w:tr>
      <w:tr w:rsidR="00EE4DA6">
        <w:tblPrEx>
          <w:tblCellMar>
            <w:top w:w="0" w:type="dxa"/>
            <w:bottom w:w="0" w:type="dxa"/>
          </w:tblCellMar>
        </w:tblPrEx>
        <w:tc>
          <w:tcPr>
            <w:tcW w:w="0" w:type="auto"/>
            <w:shd w:val="clear" w:color="auto" w:fill="FFFFFF"/>
            <w:tcMar>
              <w:top w:w="80" w:type="dxa"/>
              <w:left w:w="120" w:type="dxa"/>
              <w:bottom w:w="80" w:type="dxa"/>
              <w:right w:w="120" w:type="dxa"/>
            </w:tcMar>
          </w:tcPr>
          <w:p w:rsidR="00EE4DA6" w:rsidRDefault="00000000">
            <w:r>
              <w:rPr>
                <w:color w:val="000000"/>
                <w:sz w:val="20"/>
                <w:szCs w:val="20"/>
              </w:rPr>
              <w:t>SUPPA2</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v2.3</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Alternative splicing event detection and PSI quantification</w:t>
            </w:r>
          </w:p>
        </w:tc>
      </w:tr>
      <w:tr w:rsidR="00EE4DA6">
        <w:tblPrEx>
          <w:tblCellMar>
            <w:top w:w="0" w:type="dxa"/>
            <w:bottom w:w="0" w:type="dxa"/>
          </w:tblCellMar>
        </w:tblPrEx>
        <w:tc>
          <w:tcPr>
            <w:tcW w:w="0" w:type="auto"/>
            <w:shd w:val="clear" w:color="auto" w:fill="FFFFFF"/>
            <w:tcMar>
              <w:top w:w="80" w:type="dxa"/>
              <w:left w:w="120" w:type="dxa"/>
              <w:bottom w:w="80" w:type="dxa"/>
              <w:right w:w="120" w:type="dxa"/>
            </w:tcMar>
          </w:tcPr>
          <w:p w:rsidR="00EE4DA6" w:rsidRDefault="00000000">
            <w:r>
              <w:rPr>
                <w:color w:val="000000"/>
                <w:sz w:val="20"/>
                <w:szCs w:val="20"/>
              </w:rPr>
              <w:t>Salmon</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v1.5.2</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Transcript expression quantification (TPM)</w:t>
            </w:r>
          </w:p>
        </w:tc>
      </w:tr>
      <w:tr w:rsidR="00EE4DA6">
        <w:tblPrEx>
          <w:tblCellMar>
            <w:top w:w="0" w:type="dxa"/>
            <w:bottom w:w="0" w:type="dxa"/>
          </w:tblCellMar>
        </w:tblPrEx>
        <w:tc>
          <w:tcPr>
            <w:tcW w:w="0" w:type="auto"/>
            <w:shd w:val="clear" w:color="auto" w:fill="FFFFFF"/>
            <w:tcMar>
              <w:top w:w="80" w:type="dxa"/>
              <w:left w:w="120" w:type="dxa"/>
              <w:bottom w:w="80" w:type="dxa"/>
              <w:right w:w="120" w:type="dxa"/>
            </w:tcMar>
          </w:tcPr>
          <w:p w:rsidR="00EE4DA6" w:rsidRDefault="00000000">
            <w:r>
              <w:rPr>
                <w:color w:val="000000"/>
                <w:sz w:val="20"/>
                <w:szCs w:val="20"/>
              </w:rPr>
              <w:t>IGV</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v2.19.7</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Genome browser for visual inspection of splicing events</w:t>
            </w:r>
          </w:p>
        </w:tc>
      </w:tr>
      <w:tr w:rsidR="00EE4DA6">
        <w:tblPrEx>
          <w:tblCellMar>
            <w:top w:w="0" w:type="dxa"/>
            <w:bottom w:w="0" w:type="dxa"/>
          </w:tblCellMar>
        </w:tblPrEx>
        <w:tc>
          <w:tcPr>
            <w:tcW w:w="0" w:type="auto"/>
            <w:shd w:val="clear" w:color="auto" w:fill="FFFFFF"/>
            <w:tcMar>
              <w:top w:w="80" w:type="dxa"/>
              <w:left w:w="120" w:type="dxa"/>
              <w:bottom w:w="80" w:type="dxa"/>
              <w:right w:w="120" w:type="dxa"/>
            </w:tcMar>
          </w:tcPr>
          <w:p w:rsidR="00EE4DA6" w:rsidRDefault="00000000">
            <w:r>
              <w:rPr>
                <w:color w:val="000000"/>
                <w:sz w:val="20"/>
                <w:szCs w:val="20"/>
              </w:rPr>
              <w:t>Python</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3.8.20 (suppa_env)</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Data analysis, filtering, and figure generation</w:t>
            </w:r>
          </w:p>
        </w:tc>
      </w:tr>
      <w:tr w:rsidR="00EE4DA6">
        <w:tblPrEx>
          <w:tblCellMar>
            <w:top w:w="0" w:type="dxa"/>
            <w:bottom w:w="0" w:type="dxa"/>
          </w:tblCellMar>
        </w:tblPrEx>
        <w:tc>
          <w:tcPr>
            <w:tcW w:w="0" w:type="auto"/>
            <w:shd w:val="clear" w:color="auto" w:fill="FFFFFF"/>
            <w:tcMar>
              <w:top w:w="80" w:type="dxa"/>
              <w:left w:w="120" w:type="dxa"/>
              <w:bottom w:w="80" w:type="dxa"/>
              <w:right w:w="120" w:type="dxa"/>
            </w:tcMar>
          </w:tcPr>
          <w:p w:rsidR="00EE4DA6" w:rsidRDefault="00000000">
            <w:r>
              <w:rPr>
                <w:color w:val="000000"/>
                <w:sz w:val="20"/>
                <w:szCs w:val="20"/>
              </w:rPr>
              <w:t>pandas</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Tabular data manipulation</w:t>
            </w:r>
          </w:p>
        </w:tc>
      </w:tr>
      <w:tr w:rsidR="00EE4DA6">
        <w:tblPrEx>
          <w:tblCellMar>
            <w:top w:w="0" w:type="dxa"/>
            <w:bottom w:w="0" w:type="dxa"/>
          </w:tblCellMar>
        </w:tblPrEx>
        <w:tc>
          <w:tcPr>
            <w:tcW w:w="0" w:type="auto"/>
            <w:shd w:val="clear" w:color="auto" w:fill="FFFFFF"/>
            <w:tcMar>
              <w:top w:w="80" w:type="dxa"/>
              <w:left w:w="120" w:type="dxa"/>
              <w:bottom w:w="80" w:type="dxa"/>
              <w:right w:w="120" w:type="dxa"/>
            </w:tcMar>
          </w:tcPr>
          <w:p w:rsidR="00EE4DA6" w:rsidRDefault="00000000">
            <w:r>
              <w:rPr>
                <w:color w:val="000000"/>
                <w:sz w:val="20"/>
                <w:szCs w:val="20"/>
              </w:rPr>
              <w:t>matplotlib</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Figure generation</w:t>
            </w:r>
          </w:p>
        </w:tc>
      </w:tr>
      <w:tr w:rsidR="00EE4DA6">
        <w:tblPrEx>
          <w:tblCellMar>
            <w:top w:w="0" w:type="dxa"/>
            <w:bottom w:w="0" w:type="dxa"/>
          </w:tblCellMar>
        </w:tblPrEx>
        <w:tc>
          <w:tcPr>
            <w:tcW w:w="0" w:type="auto"/>
            <w:shd w:val="clear" w:color="auto" w:fill="FFFFFF"/>
            <w:tcMar>
              <w:top w:w="80" w:type="dxa"/>
              <w:left w:w="120" w:type="dxa"/>
              <w:bottom w:w="80" w:type="dxa"/>
              <w:right w:w="120" w:type="dxa"/>
            </w:tcMar>
          </w:tcPr>
          <w:p w:rsidR="00EE4DA6" w:rsidRDefault="00000000">
            <w:r>
              <w:rPr>
                <w:color w:val="000000"/>
                <w:sz w:val="20"/>
                <w:szCs w:val="20"/>
              </w:rPr>
              <w:t>matplotlib-venn</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Venn diagram visualizations</w:t>
            </w:r>
          </w:p>
        </w:tc>
      </w:tr>
      <w:tr w:rsidR="00EE4DA6">
        <w:tblPrEx>
          <w:tblCellMar>
            <w:top w:w="0" w:type="dxa"/>
            <w:bottom w:w="0" w:type="dxa"/>
          </w:tblCellMar>
        </w:tblPrEx>
        <w:tc>
          <w:tcPr>
            <w:tcW w:w="0" w:type="auto"/>
            <w:shd w:val="clear" w:color="auto" w:fill="FFFFFF"/>
            <w:tcMar>
              <w:top w:w="80" w:type="dxa"/>
              <w:left w:w="120" w:type="dxa"/>
              <w:bottom w:w="80" w:type="dxa"/>
              <w:right w:w="120" w:type="dxa"/>
            </w:tcMar>
          </w:tcPr>
          <w:p w:rsidR="00EE4DA6" w:rsidRDefault="00000000">
            <w:r>
              <w:rPr>
                <w:color w:val="000000"/>
                <w:sz w:val="20"/>
                <w:szCs w:val="20"/>
              </w:rPr>
              <w:t>Bash / zsh</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macOS zsh</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Pipeline automation and file processing</w:t>
            </w:r>
          </w:p>
        </w:tc>
      </w:tr>
      <w:tr w:rsidR="00EE4DA6">
        <w:tblPrEx>
          <w:tblCellMar>
            <w:top w:w="0" w:type="dxa"/>
            <w:bottom w:w="0" w:type="dxa"/>
          </w:tblCellMar>
        </w:tblPrEx>
        <w:tc>
          <w:tcPr>
            <w:tcW w:w="0" w:type="auto"/>
            <w:shd w:val="clear" w:color="auto" w:fill="FFFFFF"/>
            <w:tcMar>
              <w:top w:w="80" w:type="dxa"/>
              <w:left w:w="120" w:type="dxa"/>
              <w:bottom w:w="80" w:type="dxa"/>
              <w:right w:w="120" w:type="dxa"/>
            </w:tcMar>
          </w:tcPr>
          <w:p w:rsidR="00EE4DA6" w:rsidRDefault="00000000">
            <w:r>
              <w:rPr>
                <w:color w:val="000000"/>
                <w:sz w:val="20"/>
                <w:szCs w:val="20"/>
              </w:rPr>
              <w:t>GitHub</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git</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Version control and code repository (griceyrt/Internship)</w:t>
            </w:r>
          </w:p>
        </w:tc>
      </w:tr>
      <w:tr w:rsidR="00EE4DA6">
        <w:tblPrEx>
          <w:tblCellMar>
            <w:top w:w="0" w:type="dxa"/>
            <w:bottom w:w="0" w:type="dxa"/>
          </w:tblCellMar>
        </w:tblPrEx>
        <w:tc>
          <w:tcPr>
            <w:tcW w:w="0" w:type="auto"/>
            <w:shd w:val="clear" w:color="auto" w:fill="FFFFFF"/>
            <w:tcMar>
              <w:top w:w="80" w:type="dxa"/>
              <w:left w:w="120" w:type="dxa"/>
              <w:bottom w:w="80" w:type="dxa"/>
              <w:right w:w="120" w:type="dxa"/>
            </w:tcMar>
          </w:tcPr>
          <w:p w:rsidR="00EE4DA6" w:rsidRDefault="00000000">
            <w:r>
              <w:rPr>
                <w:color w:val="000000"/>
                <w:sz w:val="20"/>
                <w:szCs w:val="20"/>
              </w:rPr>
              <w:t>VSCode</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latest</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Development environment for notebooks and scripts</w:t>
            </w:r>
          </w:p>
        </w:tc>
      </w:tr>
      <w:tr w:rsidR="00EE4DA6">
        <w:tblPrEx>
          <w:tblCellMar>
            <w:top w:w="0" w:type="dxa"/>
            <w:bottom w:w="0" w:type="dxa"/>
          </w:tblCellMar>
        </w:tblPrEx>
        <w:tc>
          <w:tcPr>
            <w:tcW w:w="0" w:type="auto"/>
            <w:shd w:val="clear" w:color="auto" w:fill="FFFFFF"/>
            <w:tcMar>
              <w:top w:w="80" w:type="dxa"/>
              <w:left w:w="120" w:type="dxa"/>
              <w:bottom w:w="80" w:type="dxa"/>
              <w:right w:w="120" w:type="dxa"/>
            </w:tcMar>
          </w:tcPr>
          <w:p w:rsidR="00EE4DA6" w:rsidRDefault="00000000">
            <w:r>
              <w:rPr>
                <w:color w:val="000000"/>
                <w:sz w:val="20"/>
                <w:szCs w:val="20"/>
              </w:rPr>
              <w:t>Notion</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web</w:t>
            </w:r>
          </w:p>
        </w:tc>
        <w:tc>
          <w:tcPr>
            <w:tcW w:w="0" w:type="auto"/>
            <w:shd w:val="clear" w:color="auto" w:fill="FFFFFF"/>
            <w:tcMar>
              <w:top w:w="80" w:type="dxa"/>
              <w:left w:w="120" w:type="dxa"/>
              <w:bottom w:w="80" w:type="dxa"/>
              <w:right w:w="120" w:type="dxa"/>
            </w:tcMar>
          </w:tcPr>
          <w:p w:rsidR="00EE4DA6" w:rsidRDefault="00000000">
            <w:r>
              <w:rPr>
                <w:color w:val="000000"/>
                <w:sz w:val="20"/>
                <w:szCs w:val="20"/>
              </w:rPr>
              <w:t>Lab notebook, biology glossary, daily logs</w:t>
            </w:r>
          </w:p>
        </w:tc>
      </w:tr>
    </w:tbl>
    <w:p w:rsidR="00EE4DA6" w:rsidRDefault="00EE4DA6">
      <w:pPr>
        <w:spacing w:before="120" w:after="120"/>
      </w:pPr>
    </w:p>
    <w:p w:rsidR="00EE4DA6" w:rsidRDefault="00000000">
      <w:pPr>
        <w:spacing w:after="200"/>
        <w:jc w:val="both"/>
      </w:pPr>
      <w:r>
        <w:t>All bioinformatics tools (SUPPA2, Salmon) were run inside a dedicated Python virtual environment called suppa_env (Python 3.8.20), created at the start of the internship to ensure reproducibility and avoid dependency conflicts. The analysis code was developed in VSCode using the same environment as the execution kernel.</w:t>
      </w:r>
    </w:p>
    <w:p w:rsidR="00EE4DA6" w:rsidRDefault="00000000">
      <w:pPr>
        <w:pStyle w:val="Heading2"/>
      </w:pPr>
      <w:r>
        <w:t>4.2 Repository structure</w:t>
      </w:r>
    </w:p>
    <w:p w:rsidR="00EE4DA6" w:rsidRDefault="00000000">
      <w:pPr>
        <w:spacing w:after="200"/>
        <w:jc w:val="both"/>
      </w:pPr>
      <w:r>
        <w:t>All code produced during the internship is tracked in a public GitHub repository (griceyrt/Internship). The repository is organized as follows: pipeline automation scripts (Bash) live in scripts/ at the root; analysis Python scripts live in analysis/scripts/; Jupyter notebooks live in analysis/notebooks/; and output figures are stored in figures/plots/. Raw data and large biological files are excluded from version control via a .gitignore file, keeping the repository lightweight and focused on code.</w:t>
      </w:r>
    </w:p>
    <w:p w:rsidR="00EE4DA6" w:rsidRDefault="00000000">
      <w:pPr>
        <w:pStyle w:val="Heading2"/>
      </w:pPr>
      <w:r>
        <w:t>4.3 Workflow overview</w:t>
      </w:r>
    </w:p>
    <w:p w:rsidR="00EE4DA6" w:rsidRDefault="00000000">
      <w:pPr>
        <w:spacing w:after="200"/>
        <w:jc w:val="both"/>
      </w:pPr>
      <w:r>
        <w:t>The general computational workflow follows three stages. First, Bash scripts handle the heavy lifting: running SUPPA2 generateEvents to catalog all splicing events from the reference, running psiPerEvent to compute PSI values from Salmon TPM outputs, and running diffSplice to compare conditions. Second, Python notebooks handle filtering, comparison, and visualization: loading SUPPA2 outputs into pandas dataframes, computing set operations between event populations, and generating figures with matplotlib. Third, IGV is used manually to inspect candidate events, verify transcript structures, and produce screenshots for reporting.</w:t>
      </w:r>
    </w:p>
    <w:p w:rsidR="00EE4DA6" w:rsidRDefault="00000000">
      <w:pPr>
        <w:spacing w:after="200"/>
        <w:jc w:val="both"/>
      </w:pPr>
      <w:r>
        <w:lastRenderedPageBreak/>
        <w:t>This separation between pipeline execution (Bash) and analysis (Python) kept the workflow modular and easy to debug. Each stage produces clearly named output files that serve as inputs to the next, making the full pipeline traceable from raw TPM files to final figures.</w:t>
      </w:r>
    </w:p>
    <w:p w:rsidR="00EE4DA6" w:rsidRDefault="00000000">
      <w:pPr>
        <w:pStyle w:val="Heading1"/>
      </w:pPr>
      <w:r>
        <w:t>5. Project 1: Exploring the Effect of the SUPPA2 Boundary Parameter</w:t>
      </w:r>
    </w:p>
    <w:p w:rsidR="00EE4DA6" w:rsidRDefault="00000000">
      <w:pPr>
        <w:pStyle w:val="Heading2"/>
      </w:pPr>
      <w:r>
        <w:t>5.1 Context and objective</w:t>
      </w:r>
    </w:p>
    <w:p w:rsidR="00EE4DA6" w:rsidRDefault="00000000">
      <w:pPr>
        <w:spacing w:after="200"/>
        <w:jc w:val="both"/>
      </w:pPr>
      <w:r>
        <w:t>SUPPA2's generateEvents module catalogs all possible alternative splicing events from a reference transcriptome. One of its key parameters is the boundary mode, which determines how precisely a splice site must match the annotated coordinates in the reference in order to be counted as a known event. In strict mode (the default), splice sites must match exactly. In variable mode, a tolerance of N nucleotides is allowed on either side, meaning that events with splice sites slightly offset from the annotation are still detected.</w:t>
      </w:r>
    </w:p>
    <w:p w:rsidR="00EE4DA6" w:rsidRDefault="00000000">
      <w:pPr>
        <w:spacing w:after="200"/>
        <w:jc w:val="both"/>
      </w:pPr>
      <w:r>
        <w:t>The question explored in this project is: what happens when you change this parameter? Specifically, does relaxing the boundary at the very beginning of the pipeline, before any read counts or statistical tests are involved, lead to a meaningfully different set of detected events downstream? This is not a question about which mode is better. It is about understanding how one upstream choice propagates through the full pipeline and shapes what is ultimately reported as differentially spliced.</w:t>
      </w:r>
    </w:p>
    <w:p w:rsidR="00EE4DA6" w:rsidRDefault="00000000">
      <w:pPr>
        <w:spacing w:after="200"/>
        <w:jc w:val="both"/>
      </w:pPr>
      <w:r>
        <w:t>The analysis focused on three event types most sensitive to the boundary parameter: A3, A5, and RI. SE and MX event counts were not affected by the boundary mode change and served as internal controls.</w:t>
      </w:r>
    </w:p>
    <w:p w:rsidR="00EE4DA6" w:rsidRDefault="00000000">
      <w:pPr>
        <w:pStyle w:val="Heading2"/>
      </w:pPr>
      <w:r>
        <w:t>5.2 Data and pipeline setup</w:t>
      </w:r>
    </w:p>
    <w:p w:rsidR="00EE4DA6" w:rsidRDefault="00000000">
      <w:pPr>
        <w:spacing w:after="200"/>
        <w:jc w:val="both"/>
      </w:pPr>
      <w:r>
        <w:t>The analysis used 9 samples from the laboratory's Nanopore RNA-seq dataset, covering three conditions with 3 biological replicates each: wild-type at CT8 (KM1-KM3), wild-type at CT20 (KM4-KM6), and PerDKO at CT20 (KM7-KM9). The reference annotation used was transcriptome_productivity.gtf, the laboratory's custom GTF file built on GRCm39 (mm39) and containing 155,263 transcripts (Chikhaoui, 2022). Transcript expression values (TPM) were pre-computed with Salmon by Khushi Mamgain and provided as input. The pipeline follows the splicing analysis approach established in the manuscript, where SUPPA2 generateEvents is run with the boundary parameter set, PSI values are computed from batch-corrected expression values per sample using psiPerEvent, and diffSplice is used to identify differential splicing between conditions with an empirical method, with events at p &lt; 0.05 and dPSI &gt; 0.1 considered significant (Chikhaoui, Mamgain et al., unpublished).</w:t>
      </w:r>
    </w:p>
    <w:p w:rsidR="00EE4DA6" w:rsidRDefault="00000000">
      <w:pPr>
        <w:spacing w:after="200"/>
        <w:jc w:val="both"/>
      </w:pPr>
      <w:r>
        <w:t>SUPPA2 generateEvents was run six times: once in strict mode, and five times in variable mode with tolerances of 1, 3, 5, 10, and 20 nucleotides. All runs were automated through a Bash script (run_suppa.sh) to ensure consistency. A second script (compare_runs.sh) aggregated the outputs for comparison across modes.</w:t>
      </w:r>
    </w:p>
    <w:p w:rsidR="00EE4DA6" w:rsidRDefault="00000000">
      <w:pPr>
        <w:pStyle w:val="Heading2"/>
      </w:pPr>
      <w:r>
        <w:t>5.3 Results</w:t>
      </w:r>
    </w:p>
    <w:p w:rsidR="00EE4DA6" w:rsidRDefault="00000000">
      <w:pPr>
        <w:pStyle w:val="Heading3"/>
      </w:pPr>
      <w:r>
        <w:t>5.3.1 Variable mode detects substantially more events</w:t>
      </w:r>
    </w:p>
    <w:p w:rsidR="00EE4DA6" w:rsidRDefault="00000000">
      <w:pPr>
        <w:spacing w:after="200"/>
        <w:jc w:val="both"/>
      </w:pPr>
      <w:r>
        <w:lastRenderedPageBreak/>
        <w:t>At the generateEvents stage, switching from strict to variable 1nt mode substantially increases the number of detected events for the three boundary-sensitive event types. A3 events increase from 11,164 (strict) to 22,932 (variable 1nt), A5 events from 9,630 to 19,456, and RI events from 5,316 to 17,337 (nearly tripling). SE and MX counts remain identical across modes, confirming that the change is specific to events defined by a splice site boundary.</w:t>
      </w:r>
    </w:p>
    <w:p w:rsidR="00EE4DA6" w:rsidRDefault="00000000">
      <w:pPr>
        <w:spacing w:before="200" w:after="80"/>
        <w:jc w:val="center"/>
      </w:pPr>
      <w:r>
        <w:rPr>
          <w:i/>
          <w:iCs/>
          <w:color w:val="888888"/>
          <w:sz w:val="22"/>
          <w:szCs w:val="22"/>
        </w:rPr>
        <w:t>[ Figure 4: strict vs variable 1nt event counts lineplot — insert graph here ]</w:t>
      </w:r>
    </w:p>
    <w:p w:rsidR="00EE4DA6" w:rsidRDefault="00000000">
      <w:pPr>
        <w:spacing w:after="200"/>
        <w:jc w:val="center"/>
      </w:pPr>
      <w:r>
        <w:rPr>
          <w:i/>
          <w:iCs/>
          <w:color w:val="555555"/>
          <w:sz w:val="20"/>
          <w:szCs w:val="20"/>
        </w:rPr>
        <w:t>Figure 4. Event counts for A3, A5, RI, SE, and MX event types in strict vs variable 1nt mode. SE and MX counts are unchanged, confirming boundary specificity.</w:t>
      </w:r>
    </w:p>
    <w:p w:rsidR="00EE4DA6" w:rsidRDefault="00000000">
      <w:pPr>
        <w:spacing w:after="200"/>
        <w:jc w:val="both"/>
      </w:pPr>
      <w:r>
        <w:t>When the analysis is extended to all six boundary modes (strict through variable 20nt), event counts for A3, A5, and RI increase from strict to variable 1nt, then plateau from 1nt onward. This plateau indicates that variable 1nt captures essentially the same set of events as any larger tolerance, making it the natural comparison point.</w:t>
      </w:r>
    </w:p>
    <w:p w:rsidR="00EE4DA6" w:rsidRDefault="00000000">
      <w:pPr>
        <w:spacing w:before="200" w:after="80"/>
        <w:jc w:val="center"/>
      </w:pPr>
      <w:r>
        <w:rPr>
          <w:i/>
          <w:iCs/>
          <w:color w:val="888888"/>
          <w:sz w:val="22"/>
          <w:szCs w:val="22"/>
        </w:rPr>
        <w:t>[ Figure 5: all boundary modes event count plateau — insert graph here ]</w:t>
      </w:r>
    </w:p>
    <w:p w:rsidR="00EE4DA6" w:rsidRDefault="00000000">
      <w:pPr>
        <w:spacing w:after="200"/>
        <w:jc w:val="center"/>
      </w:pPr>
      <w:r>
        <w:rPr>
          <w:i/>
          <w:iCs/>
          <w:color w:val="555555"/>
          <w:sz w:val="20"/>
          <w:szCs w:val="20"/>
        </w:rPr>
        <w:t>Figure 5. Event counts across all six boundary modes (strict, 1nt, 3nt, 5nt, 10nt, 20nt). Counts plateau after 1nt for A3, A5, and RI, justifying variable 1nt as the comparison point.</w:t>
      </w:r>
    </w:p>
    <w:p w:rsidR="00EE4DA6" w:rsidRDefault="00000000">
      <w:pPr>
        <w:pStyle w:val="Heading3"/>
      </w:pPr>
      <w:r>
        <w:t>5.3.2 Variable mode is a superset of strict mode</w:t>
      </w:r>
    </w:p>
    <w:p w:rsidR="00EE4DA6" w:rsidRDefault="00000000">
      <w:pPr>
        <w:spacing w:after="200"/>
        <w:jc w:val="both"/>
      </w:pPr>
      <w:r>
        <w:t>To understand the relationship between the two event populations, events detected by strict mode were compared to those detected by variable 1nt mode. This required a coordinate reformatting step, because strict and variable modes use different internal representations for the same event types. A strand-aware reformatting function was implemented in Python to make the IDs comparable.</w:t>
      </w:r>
    </w:p>
    <w:p w:rsidR="00EE4DA6" w:rsidRDefault="00000000">
      <w:pPr>
        <w:spacing w:after="200"/>
        <w:jc w:val="both"/>
      </w:pPr>
      <w:r>
        <w:t>After reformatting, all strict events were found within the variable event set, with zero exceptions across all three event types. This was confirmed as expected and serves as a computational sanity check: relaxing a constraint can only add events, never remove them. Variable mode is therefore a true superset of strict mode, with the additional events corresponding to splice sites that fall slightly outside the strict boundary.</w:t>
      </w:r>
    </w:p>
    <w:p w:rsidR="00EE4DA6" w:rsidRDefault="00000000">
      <w:pPr>
        <w:spacing w:before="200" w:after="80"/>
        <w:jc w:val="center"/>
      </w:pPr>
      <w:r>
        <w:rPr>
          <w:i/>
          <w:iCs/>
          <w:color w:val="888888"/>
          <w:sz w:val="22"/>
          <w:szCs w:val="22"/>
        </w:rPr>
        <w:t>[ Figure 6: concentric circle Venn — strict inside variable — insert graph here ]</w:t>
      </w:r>
    </w:p>
    <w:p w:rsidR="00EE4DA6" w:rsidRDefault="00000000">
      <w:pPr>
        <w:spacing w:after="200"/>
        <w:jc w:val="center"/>
      </w:pPr>
      <w:r>
        <w:rPr>
          <w:i/>
          <w:iCs/>
          <w:color w:val="555555"/>
          <w:sz w:val="20"/>
          <w:szCs w:val="20"/>
        </w:rPr>
        <w:t>Figure 6. Concentric circle representation of event populations: strict mode events (inner) are fully contained within variable 1nt mode events (outer), for A3, A5, and RI.</w:t>
      </w:r>
    </w:p>
    <w:p w:rsidR="00EE4DA6" w:rsidRDefault="00000000">
      <w:pPr>
        <w:pStyle w:val="Heading3"/>
      </w:pPr>
      <w:r>
        <w:t>5.3.3 Gene-level perspective: novel genes and novel transcripts</w:t>
      </w:r>
    </w:p>
    <w:p w:rsidR="00EE4DA6" w:rsidRDefault="00000000">
      <w:pPr>
        <w:spacing w:after="200"/>
        <w:jc w:val="both"/>
      </w:pPr>
      <w:r>
        <w:t>At the gene level, variable 1nt mode detects events in genes that strict mode misses entirely: 3,423 additional genes for A3, 3,097 for A5, and 4,405 for RI. Among the events unique to variable mode, a subset involves transcripts with non-Ensembl (UUID-format) identifiers, meaning they are novel isoforms discovered by the laboratory's Nanopore sequencing and not present in any standard annotation. These account for 456 genes for A3, 413 for A5, and 374 for RI (Q4 population).</w:t>
      </w:r>
    </w:p>
    <w:p w:rsidR="00EE4DA6" w:rsidRDefault="00000000">
      <w:pPr>
        <w:spacing w:before="200" w:after="80"/>
        <w:jc w:val="center"/>
      </w:pPr>
      <w:r>
        <w:rPr>
          <w:i/>
          <w:iCs/>
          <w:color w:val="888888"/>
          <w:sz w:val="22"/>
          <w:szCs w:val="22"/>
        </w:rPr>
        <w:t>[ Figure 7: gene population barplot Q1-Q4 — insert graph here ]</w:t>
      </w:r>
    </w:p>
    <w:p w:rsidR="00EE4DA6" w:rsidRDefault="00000000">
      <w:pPr>
        <w:spacing w:after="200"/>
        <w:jc w:val="center"/>
      </w:pPr>
      <w:r>
        <w:rPr>
          <w:i/>
          <w:iCs/>
          <w:color w:val="555555"/>
          <w:sz w:val="20"/>
          <w:szCs w:val="20"/>
        </w:rPr>
        <w:t>Figure 7. Gene-level breakdown of event populations across four categories (Q1: strict only, Q2: shared, Q3: variable only with known transcripts, Q4: variable only with novel transcripts).</w:t>
      </w:r>
    </w:p>
    <w:p w:rsidR="00EE4DA6" w:rsidRDefault="00000000">
      <w:pPr>
        <w:pStyle w:val="Heading3"/>
      </w:pPr>
      <w:r>
        <w:t>5.3.4 PSI values are consistent between modes for shared events</w:t>
      </w:r>
    </w:p>
    <w:p w:rsidR="00EE4DA6" w:rsidRDefault="00000000">
      <w:pPr>
        <w:spacing w:after="200"/>
        <w:jc w:val="both"/>
      </w:pPr>
      <w:r>
        <w:lastRenderedPageBreak/>
        <w:t>For events detected by both modes, PSI values were compared across samples. A density plot of the PSI difference (dPSI = PSI_strict minus PSI_variable) for shared events shows a single sharp peak at zero for all three event types, with mean dPSI values between 0.025 and 0.034. This confirms that for events both modes detect, they also agree on how much each isoform is expressed. The two modes produce parallel, consistent outputs for the shared event space.</w:t>
      </w:r>
    </w:p>
    <w:p w:rsidR="00EE4DA6" w:rsidRDefault="00000000">
      <w:pPr>
        <w:spacing w:before="200" w:after="80"/>
        <w:jc w:val="center"/>
      </w:pPr>
      <w:r>
        <w:rPr>
          <w:i/>
          <w:iCs/>
          <w:color w:val="888888"/>
          <w:sz w:val="22"/>
          <w:szCs w:val="22"/>
        </w:rPr>
        <w:t>[ Figure 8: dPSI density plot for shared events — insert graph here ]</w:t>
      </w:r>
    </w:p>
    <w:p w:rsidR="00EE4DA6" w:rsidRDefault="00000000">
      <w:pPr>
        <w:spacing w:after="200"/>
        <w:jc w:val="center"/>
      </w:pPr>
      <w:r>
        <w:rPr>
          <w:i/>
          <w:iCs/>
          <w:color w:val="555555"/>
          <w:sz w:val="20"/>
          <w:szCs w:val="20"/>
        </w:rPr>
        <w:t>Figure 8. Density plot of PSI difference (dPSI = PSI_strict minus PSI_variable) for events shared between strict and variable 1nt mode. The peak at zero confirms PSI consistency for shared events.</w:t>
      </w:r>
    </w:p>
    <w:p w:rsidR="00EE4DA6" w:rsidRDefault="00000000">
      <w:pPr>
        <w:pStyle w:val="Heading3"/>
      </w:pPr>
      <w:r>
        <w:t>5.3.5 Significant differential splicing events</w:t>
      </w:r>
    </w:p>
    <w:p w:rsidR="00EE4DA6" w:rsidRDefault="00000000">
      <w:pPr>
        <w:spacing w:after="200"/>
        <w:jc w:val="both"/>
      </w:pPr>
      <w:r>
        <w:t>After applying statistical filters (|dPSI| &gt; 0.1 and p-value &lt; 0.05) to the diffSplice output comparing WT CT20 vs PerDKO CT20, the number of significant events per mode is: strict mode yields 45 significant A3 events, 47 A5, and 13 RI. Variable 1nt mode yields 73 A3, 76 A5, and 64 RI. The increase is substantial, especially for RI which grows nearly 5-fold. Most strict significant events are also found in the variable significant set, confirming that variable mode is a superset also at the level of statistically filtered results. Both tracks are biologically valid, with variable mode providing broader coverage.</w:t>
      </w:r>
    </w:p>
    <w:p w:rsidR="00EE4DA6" w:rsidRDefault="00000000">
      <w:pPr>
        <w:spacing w:before="200" w:after="80"/>
        <w:jc w:val="center"/>
      </w:pPr>
      <w:r>
        <w:rPr>
          <w:i/>
          <w:iCs/>
          <w:color w:val="888888"/>
          <w:sz w:val="22"/>
          <w:szCs w:val="22"/>
        </w:rPr>
        <w:t>[ Figure 9: significant events Venn and stacked barplot — insert graph here ]</w:t>
      </w:r>
    </w:p>
    <w:p w:rsidR="00EE4DA6" w:rsidRDefault="00000000">
      <w:pPr>
        <w:spacing w:after="200"/>
        <w:jc w:val="center"/>
      </w:pPr>
      <w:r>
        <w:rPr>
          <w:i/>
          <w:iCs/>
          <w:color w:val="555555"/>
          <w:sz w:val="20"/>
          <w:szCs w:val="20"/>
        </w:rPr>
        <w:t>Figure 9. Significant differentially spliced events (|dPSI| &gt; 0.1, p &lt; 0.05) in strict vs variable 1nt mode for WT CT20 vs PerDKO CT20.</w:t>
      </w:r>
    </w:p>
    <w:p w:rsidR="00EE4DA6" w:rsidRDefault="00000000">
      <w:pPr>
        <w:pStyle w:val="Heading2"/>
      </w:pPr>
      <w:r>
        <w:t>5.4 Case study: gene C8g (ENSMUSG00000015083)</w:t>
      </w:r>
    </w:p>
    <w:p w:rsidR="00EE4DA6" w:rsidRDefault="00000000">
      <w:pPr>
        <w:spacing w:after="200"/>
        <w:jc w:val="both"/>
      </w:pPr>
      <w:r>
        <w:t xml:space="preserve">To illustrate the practical impact of the boundary parameter, one candidate event was examined in detail using IGV. Gene </w:t>
      </w:r>
      <w:r>
        <w:rPr>
          <w:i/>
          <w:iCs/>
        </w:rPr>
        <w:t>C8g</w:t>
      </w:r>
      <w:r>
        <w:t xml:space="preserve"> shows an A3 event at chromosomal coordinates chr2:25,389,127-25,389,517 with a dPSI of 0.952 between strict and variable mode in sample KM4 (PSI_strict = 0.977, PSI_variable = 0.025). This large discrepancy arises because variable mode detects a novel transcript (UUID identifier c765a871) at that locus that strict mode cannot see. The same locus also has a variable-only RI event driven by the same novel transcript. IGV inspection confirmed that the novel transcript is present in the read data and represents a structurally distinct isoform not captured by the standard annotation.</w:t>
      </w:r>
    </w:p>
    <w:p w:rsidR="00EE4DA6" w:rsidRDefault="00000000">
      <w:pPr>
        <w:spacing w:before="200" w:after="80"/>
        <w:jc w:val="center"/>
      </w:pPr>
      <w:r>
        <w:rPr>
          <w:i/>
          <w:iCs/>
          <w:color w:val="888888"/>
          <w:sz w:val="22"/>
          <w:szCs w:val="22"/>
        </w:rPr>
        <w:t>[ Figure 10: IGV screenshot C8g locus — insert IGV screenshot here ]</w:t>
      </w:r>
    </w:p>
    <w:p w:rsidR="00EE4DA6" w:rsidRDefault="00000000">
      <w:pPr>
        <w:spacing w:after="200"/>
        <w:jc w:val="center"/>
      </w:pPr>
      <w:r>
        <w:rPr>
          <w:i/>
          <w:iCs/>
          <w:color w:val="555555"/>
          <w:sz w:val="20"/>
          <w:szCs w:val="20"/>
        </w:rPr>
        <w:t>Figure 10. IGV visualization of the C8g locus showing the A3 and RI events in strict vs variable mode. The novel UUID transcript is visible only in variable mode.</w:t>
      </w:r>
    </w:p>
    <w:p w:rsidR="00EE4DA6" w:rsidRDefault="00000000">
      <w:pPr>
        <w:pStyle w:val="Heading2"/>
      </w:pPr>
      <w:r>
        <w:t>5.5 Summary</w:t>
      </w:r>
    </w:p>
    <w:p w:rsidR="00EE4DA6" w:rsidRDefault="00000000">
      <w:pPr>
        <w:spacing w:after="200"/>
        <w:jc w:val="both"/>
      </w:pPr>
      <w:r>
        <w:t>Changing the SUPPA2 boundary parameter from strict to variable 1nt produces a consistently different output throughout the pipeline: more events are detected, more genes are covered, and more differentially spliced events survive statistical filtering. The key findings are: (1) variable mode is a true superset of strict at every level of the analysis, confirmed as a sanity check; (2) the 1nt threshold is the meaningful inflection point, with counts plateauing beyond it; (3) PSI values are consistent between modes for shared events; and (4) once filtered for significance, both tracks converge toward a shared core of biologically relevant events, with variable mode providing additional coverage especially for RI. These findings informed the decision to use variable 1nt mode as the operational parameter for the laboratory's ongoing analysis.</w:t>
      </w:r>
    </w:p>
    <w:p w:rsidR="00EE4DA6" w:rsidRDefault="00000000">
      <w:pPr>
        <w:pStyle w:val="Heading1"/>
      </w:pPr>
      <w:r>
        <w:lastRenderedPageBreak/>
        <w:t>6. Project 2: Orthogonal Validation of Nanopore Alternative Splicing with Illumina Short-Read RNA-seq</w:t>
      </w:r>
    </w:p>
    <w:p w:rsidR="00EE4DA6" w:rsidRDefault="00000000">
      <w:pPr>
        <w:pStyle w:val="Heading2"/>
      </w:pPr>
      <w:r>
        <w:t>6.1 Objective</w:t>
      </w:r>
    </w:p>
    <w:p w:rsidR="00EE4DA6" w:rsidRDefault="00000000">
      <w:pPr>
        <w:spacing w:after="200"/>
        <w:jc w:val="both"/>
      </w:pPr>
      <w:r>
        <w:t>The findings reported in Chikhaoui, Mamgain et al. (unpublished) are based on Nanopore long-read RNA-seq data. As part of the peer review process, the reviewers requested orthogonal validation using an independent dataset generated with a different sequencing technology. The goal of Project 2 is to reproduce the WT CT20 vs PerDKO CT20 alternative splicing comparison using publicly available Illumina short-read RNA-seq data, and to assess whether the splicing events identified from Nanopore data are also detectable in the Illumina dataset. If the two technologies converge on the same events, that strengthens the case that the findings reflect real biology rather than technical artifacts of the sequencing method.</w:t>
      </w:r>
    </w:p>
    <w:p w:rsidR="00EE4DA6" w:rsidRDefault="00000000">
      <w:pPr>
        <w:spacing w:after="200"/>
        <w:jc w:val="both"/>
      </w:pPr>
      <w:r>
        <w:t>This is the main project of the internship. It builds on everything established in Project 1 and applies it to a new data source, with several additional computational steps that were not required in Project 1.</w:t>
      </w:r>
    </w:p>
    <w:p w:rsidR="00EE4DA6" w:rsidRDefault="00000000">
      <w:pPr>
        <w:pStyle w:val="Heading2"/>
      </w:pPr>
      <w:r>
        <w:t>6.2 Data</w:t>
      </w:r>
    </w:p>
    <w:p w:rsidR="00EE4DA6" w:rsidRDefault="00000000">
      <w:pPr>
        <w:spacing w:after="200"/>
        <w:jc w:val="both"/>
      </w:pPr>
      <w:r>
        <w:t xml:space="preserve">The public dataset used is GSE171975 (Aviram et al., 2021), deposited on NCBI GEO by the Asher lab. It contains Illumina short-read RNA-seq data from mouse liver tissue at circadian time CT20, covering both wild-type (WT) and </w:t>
      </w:r>
      <w:r>
        <w:rPr>
          <w:i/>
          <w:iCs/>
        </w:rPr>
        <w:t>Per1/Per2</w:t>
      </w:r>
      <w:r>
        <w:t xml:space="preserve"> double knockout (PerDKO) conditions. The samples selected for this project are: four WT CT20 replicates (GSM5239178, GSM5239179, GSM5239180, GSM5239181) and three PerDKO CT20 replicates (GSM5239226, GSM5239227, GSM5239228). An important detail is that these reads will be quantified against the laboratory's custom transcriptome (the same GTF used in Project 1), not the standard mouse reference. This is intentional: the goal is to assess whether the same isoforms detected by Nanopore, including novel ones not present in standard annotations, are also expressed in the Illumina data.</w:t>
      </w:r>
    </w:p>
    <w:p w:rsidR="00EE4DA6" w:rsidRDefault="00000000">
      <w:pPr>
        <w:pStyle w:val="Heading2"/>
      </w:pPr>
      <w:r>
        <w:t>6.3 Pipeline</w:t>
      </w:r>
    </w:p>
    <w:p w:rsidR="00EE4DA6" w:rsidRDefault="00000000">
      <w:pPr>
        <w:spacing w:after="200"/>
        <w:jc w:val="both"/>
      </w:pPr>
      <w:r>
        <w:t>The pipeline for Project 2 is more complex than Project 1 and involves several steps requiring careful handling of data formats at each transition. The full chain is as follows:</w:t>
      </w:r>
    </w:p>
    <w:p w:rsidR="00EE4DA6" w:rsidRDefault="00000000">
      <w:pPr>
        <w:spacing w:after="200"/>
        <w:jc w:val="both"/>
      </w:pPr>
      <w:r>
        <w:rPr>
          <w:b/>
          <w:bCs/>
        </w:rPr>
        <w:t xml:space="preserve">Step 1: Data download. </w:t>
      </w:r>
      <w:r>
        <w:t>Raw FASTQ files for all 7 samples are downloaded from NCBI SRA using a Bash script (get_sra_dump_fastq_run_salmon.sh) provided as a starting point by Dr. Bharath.</w:t>
      </w:r>
    </w:p>
    <w:p w:rsidR="00EE4DA6" w:rsidRDefault="00000000">
      <w:pPr>
        <w:spacing w:after="200"/>
        <w:jc w:val="both"/>
      </w:pPr>
      <w:r>
        <w:rPr>
          <w:b/>
          <w:bCs/>
        </w:rPr>
        <w:t xml:space="preserve">Step 2: Transcript quantification. </w:t>
      </w:r>
      <w:r>
        <w:t>Salmon is run on each FASTQ file against the lab's custom transcriptome to produce per-sample quantification files (.sf files) containing TPM and estimated count values.</w:t>
      </w:r>
    </w:p>
    <w:p w:rsidR="00EE4DA6" w:rsidRDefault="00000000">
      <w:pPr>
        <w:spacing w:after="200"/>
        <w:jc w:val="both"/>
      </w:pPr>
      <w:r>
        <w:rPr>
          <w:b/>
          <w:bCs/>
        </w:rPr>
        <w:t xml:space="preserve">Step 3: Import and normalization. </w:t>
      </w:r>
      <w:r>
        <w:t>The Salmon outputs are imported into a DESeq2 object using the tximport package (Soneson et al., 2019; Love et al., 2016). DESeq2 normalizes the count estimates across samples, accounting for differences in sequencing depth and composition.</w:t>
      </w:r>
    </w:p>
    <w:p w:rsidR="00EE4DA6" w:rsidRDefault="00000000">
      <w:pPr>
        <w:spacing w:after="200"/>
        <w:jc w:val="both"/>
      </w:pPr>
      <w:r>
        <w:rPr>
          <w:b/>
          <w:bCs/>
        </w:rPr>
        <w:lastRenderedPageBreak/>
        <w:t xml:space="preserve">Step 4: Batch correction. </w:t>
      </w:r>
      <w:r>
        <w:t>A batch correction step is applied using the limma package to remove technical variation that could confound the splicing comparison. The corrected, normalized expression values are the ones passed to SUPPA2.</w:t>
      </w:r>
    </w:p>
    <w:p w:rsidR="00EE4DA6" w:rsidRDefault="00000000">
      <w:pPr>
        <w:spacing w:after="200"/>
        <w:jc w:val="both"/>
      </w:pPr>
      <w:r>
        <w:rPr>
          <w:b/>
          <w:bCs/>
        </w:rPr>
        <w:t xml:space="preserve">Step 5: PSI computation. </w:t>
      </w:r>
      <w:r>
        <w:t>SUPPA2 psiPerEvent is run on the batch-corrected expression matrix to compute PSI values for all alternative splicing events in the reference annotation, for each sample.</w:t>
      </w:r>
    </w:p>
    <w:p w:rsidR="00EE4DA6" w:rsidRDefault="00000000">
      <w:pPr>
        <w:spacing w:after="200"/>
        <w:jc w:val="both"/>
      </w:pPr>
      <w:r>
        <w:rPr>
          <w:b/>
          <w:bCs/>
        </w:rPr>
        <w:t xml:space="preserve">Step 6: Differential splicing. </w:t>
      </w:r>
      <w:r>
        <w:t>SUPPA2 diffSplice compares WT CT20 vs PerDKO CT20 to identify significantly differentially spliced events (|dPSI| &gt; 0.1, p-value &lt; 0.05). The output is then compared to the significant events identified from the Nanopore data in Project 1.</w:t>
      </w:r>
    </w:p>
    <w:p w:rsidR="00EE4DA6" w:rsidRDefault="00000000">
      <w:pPr>
        <w:pStyle w:val="Heading2"/>
      </w:pPr>
      <w:r>
        <w:t>6.4 Context: an inherited pipeline</w:t>
      </w:r>
    </w:p>
    <w:p w:rsidR="00EE4DA6" w:rsidRDefault="00000000">
      <w:pPr>
        <w:spacing w:after="200"/>
        <w:jc w:val="both"/>
      </w:pPr>
      <w:r>
        <w:t>The pipeline described above did not start from zero. Lies Chikhaoui developed an earlier version of this analysis during his PhD work (Chikhaoui, 2022), and Dr. Bharath later worked on a related implementation and contributed two Bash scripts as a reference. In reviewing both approaches, Khushi Mamgain identified that they differed in a key step: the expression values passed to SUPPA2. One approach used raw Salmon TPM values directly; the other used batch-corrected DESeq2-normalized values. These two inputs produce different PSI values for the same events, which is why the pipeline requires careful reconstruction rather than direct reuse of existing scripts.</w:t>
      </w:r>
    </w:p>
    <w:p w:rsidR="00EE4DA6" w:rsidRDefault="00000000">
      <w:pPr>
        <w:spacing w:after="200"/>
        <w:jc w:val="both"/>
      </w:pPr>
      <w:r>
        <w:t>Understanding both versions, identifying where they diverge, and determining which steps to reuse is part of the work of this project. The project will be carried out largely independently, relying on the existing scripts, the scientific literature, and the knowledge built during Project 1.</w:t>
      </w:r>
    </w:p>
    <w:p w:rsidR="00EE4DA6" w:rsidRDefault="00000000">
      <w:pPr>
        <w:pStyle w:val="Heading2"/>
      </w:pPr>
      <w:r>
        <w:t>6.5 Current status and plan for July-August</w:t>
      </w:r>
    </w:p>
    <w:p w:rsidR="00EE4DA6" w:rsidRDefault="00000000">
      <w:pPr>
        <w:pStyle w:val="Heading3"/>
      </w:pPr>
      <w:r>
        <w:t>6.5.1 Current status</w:t>
      </w:r>
    </w:p>
    <w:p w:rsidR="00EE4DA6" w:rsidRDefault="00000000">
      <w:pPr>
        <w:spacing w:after="200"/>
        <w:jc w:val="both"/>
      </w:pPr>
      <w:r>
        <w:t>At the time of writing this report, Project 1 has been completed and its findings have been documented in a Keynote presentation delivered to the research team. The results and methodology of Project 1 form the analytical foundation for Project 2. The pipeline for Project 2 has been studied and mapped out, the data source confirmed, and the correct sequence of steps established following the clarifications described in Section 6.4.</w:t>
      </w:r>
    </w:p>
    <w:p w:rsidR="00EE4DA6" w:rsidRDefault="00000000">
      <w:pPr>
        <w:pStyle w:val="Heading3"/>
      </w:pPr>
      <w:r>
        <w:t>6.5.2 Plan for July-August</w:t>
      </w:r>
    </w:p>
    <w:p w:rsidR="00EE4DA6" w:rsidRDefault="00000000">
      <w:pPr>
        <w:spacing w:after="200"/>
        <w:jc w:val="both"/>
      </w:pPr>
      <w:r>
        <w:t>The execution of Project 2 will take place during July and August. The planned sequence is: (1) download all 7 FASTQ files from SRA; (2) run Salmon quantification against the lab's custom transcriptome; (3) run tximport and DESeq2 normalization; (4) apply batch correction with limma; (5) run SUPPA2 psiPerEvent and diffSplice on the corrected expression matrix; (6) compare the resulting significant events to those from Project 1 and assess overlap with the Nanopore findings.</w:t>
      </w:r>
    </w:p>
    <w:p w:rsidR="00EE4DA6" w:rsidRDefault="00000000">
      <w:pPr>
        <w:spacing w:after="200"/>
        <w:jc w:val="both"/>
      </w:pPr>
      <w:r>
        <w:t>The expected output is a set of figures showing the overlap between Nanopore-detected and Illumina-detected differentially spliced events, which will serve as the orthogonal validation requested by the manuscript reviewers. These figures will follow the same visual conventions established in Project 1 for consistency.</w:t>
      </w:r>
    </w:p>
    <w:p w:rsidR="00EE4DA6" w:rsidRDefault="00000000">
      <w:pPr>
        <w:pStyle w:val="Heading1"/>
      </w:pPr>
      <w:r>
        <w:lastRenderedPageBreak/>
        <w:t>7. Conclusion</w:t>
      </w:r>
    </w:p>
    <w:p w:rsidR="00EE4DA6" w:rsidRDefault="00000000">
      <w:pPr>
        <w:pStyle w:val="Heading2"/>
      </w:pPr>
      <w:r>
        <w:t>7.1 Summary</w:t>
      </w:r>
    </w:p>
    <w:p w:rsidR="00EE4DA6" w:rsidRDefault="00000000">
      <w:pPr>
        <w:spacing w:after="200"/>
        <w:jc w:val="both"/>
      </w:pPr>
      <w:r>
        <w:t>This internship addressed two sequential computational projects centered on the analysis of alternative splicing in the murine circadian transcriptome. Project 1 explored the effect of the SUPPA2 boundary parameter on alternative splicing event detection, showing that variable 1nt mode is a superset of strict mode, that the 1nt threshold is the meaningful inflection point, and that both modes produce consistent PSI values for shared events. Project 2, which will be carried out during the remaining internship period, aims to validate the laboratory's Nanopore-based splicing findings using publicly available Illumina short-read RNA-seq data from the Asher lab (Aviram et al., 2021). Together, these two projects contribute directly to the computational support of an ongoing manuscript under review (Chikhaoui, Mamgain et al., unpublished).</w:t>
      </w:r>
    </w:p>
    <w:p w:rsidR="00EE4DA6" w:rsidRDefault="00000000">
      <w:pPr>
        <w:pStyle w:val="Heading2"/>
      </w:pPr>
      <w:r>
        <w:t>7.2 What this internship taught me</w:t>
      </w:r>
    </w:p>
    <w:p w:rsidR="00EE4DA6" w:rsidRDefault="00000000">
      <w:pPr>
        <w:spacing w:after="200"/>
        <w:jc w:val="both"/>
      </w:pPr>
      <w:r>
        <w:t>On the technical side, this internship required building a working understanding of alternative splicing biology from the ground up, without a formal biology background. Reading primary literature, consulting theses, and asking questions at every step were essential parts of the process. It became clear early on that research is not just about running code: a significant part of the work involves reading papers carefully, understanding methodological choices made by others, and being willing to question and verify assumptions rather than accepting outputs at face value.</w:t>
      </w:r>
    </w:p>
    <w:p w:rsidR="00EE4DA6" w:rsidRDefault="00000000">
      <w:pPr>
        <w:spacing w:after="200"/>
        <w:jc w:val="both"/>
      </w:pPr>
      <w:r>
        <w:t>Beyond the biology, the internship developed a range of practical computational skills: building and debugging multi-step bioinformatics pipelines in Bash, analyzing and visualizing data in Python, working with real research-grade datasets that are messy and underdocumented, and navigating an inherited codebase built by multiple contributors with different approaches. Each of these required patience, initiative, and the willingness to go looking for answers independently.</w:t>
      </w:r>
    </w:p>
    <w:p w:rsidR="00EE4DA6" w:rsidRDefault="00000000">
      <w:pPr>
        <w:spacing w:after="200"/>
        <w:jc w:val="both"/>
      </w:pPr>
      <w:r>
        <w:t>Presenting findings to the research team through weekly Keynote presentations was one of the most formative parts of the experience. Preparing those presentations repeatedly exposed gaps in understanding: when an idea cannot be explained clearly to an audience, it usually means it has not been understood clearly enough. Each presentation became a prompt to read more, ask more questions, and dig deeper. It also highlighted the importance of communicating across disciplines. Working with biologists made it clear that a well-designed graph communicates far more than a table of raw numbers, and that adapting how you present information to your audience is as important as the information itself. As the saying goes, a picture is worth a thousand words.</w:t>
      </w:r>
    </w:p>
    <w:p w:rsidR="00EE4DA6" w:rsidRDefault="00000000">
      <w:pPr>
        <w:spacing w:after="200"/>
        <w:jc w:val="both"/>
      </w:pPr>
      <w:r>
        <w:t>The same principle applied to seminars, group meetings, and lab events. Attending these regularly, even when the topics were unfamiliar, became a habit of collecting keywords, looking them up later, and slowly building a vocabulary for a field that was initially quite foreign. Curiosity and openness turned out to be more useful tools than any prior knowledge.</w:t>
      </w:r>
    </w:p>
    <w:p w:rsidR="00EE4DA6" w:rsidRDefault="00000000">
      <w:pPr>
        <w:spacing w:after="200"/>
        <w:jc w:val="both"/>
      </w:pPr>
      <w:r>
        <w:t xml:space="preserve">But perhaps what stayed with me most was the human side of research. Being part of a lab means being open to feedback, taking initiative to talk to people from different </w:t>
      </w:r>
      <w:r>
        <w:lastRenderedPageBreak/>
        <w:t>disciplines, asking questions out of genuine curiosity, and sharing your own progress even when it is incomplete. Research is a deeply collaborative and social activity, and that was something I did not fully appreciate before living it.</w:t>
      </w:r>
    </w:p>
    <w:p w:rsidR="00EE4DA6" w:rsidRDefault="00000000">
      <w:pPr>
        <w:pStyle w:val="Heading2"/>
      </w:pPr>
      <w:r>
        <w:t>7.3 Link to my degree and skills developed</w:t>
      </w:r>
    </w:p>
    <w:p w:rsidR="00EE4DA6" w:rsidRDefault="00000000">
      <w:pPr>
        <w:spacing w:after="200"/>
        <w:jc w:val="both"/>
      </w:pPr>
      <w:r>
        <w:t>This internship sits at the intersection of the two disciplines that define my BSc in Bioinformatics: computer science and biology. The computational work drew directly on programming skills, data structures, file system logic, and pipeline architecture. At the same time, it required developing a working understanding of molecular biology, RNA processing, and experimental design that goes well beyond what is covered in a CS curriculum. Navigating both simultaneously was the central challenge and also the central reward of the experience.</w:t>
      </w:r>
    </w:p>
    <w:p w:rsidR="00EE4DA6" w:rsidRDefault="00000000">
      <w:pPr>
        <w:spacing w:after="200"/>
        <w:jc w:val="both"/>
      </w:pPr>
      <w:r>
        <w:t>On the CS side, a concrete skill developed during the internship was the transition from GitLab (used at university) to GitHub for version control, including managing a public research repository, handling .gitignore conventions for large biological files, and maintaining a clean commit history that reflects the progression of the work. The choice to develop the analysis in Python rather than R, which is the more common language in bioinformatics, was deliberate: it was an opportunity to apply a language from the CS curriculum to a biological problem, and to demonstrate that the two approaches are more complementary than they are opposed.</w:t>
      </w:r>
    </w:p>
    <w:p w:rsidR="00EE4DA6" w:rsidRDefault="00000000">
      <w:pPr>
        <w:pStyle w:val="Heading2"/>
      </w:pPr>
      <w:r>
        <w:t>7.4 Perspectives</w:t>
      </w:r>
    </w:p>
    <w:p w:rsidR="00EE4DA6" w:rsidRDefault="00000000">
      <w:pPr>
        <w:spacing w:after="200"/>
        <w:jc w:val="both"/>
      </w:pPr>
      <w:r>
        <w:t>This internship confirmed the direction I want to take. In September 2026, I will begin a Master's degree in Life Sciences and Technologies (MSc LST) at the University of Lille, with the intention of specializing further in computational biology and bioinformatics. The experience of working on a real research project, contributing to a manuscript under review, and navigating the full lifecycle of a bioinformatics analysis, from raw data to figures to interpretation, has made clearer what a career in research actually looks like and why it is the right path.</w:t>
      </w:r>
    </w:p>
    <w:p w:rsidR="00EE4DA6" w:rsidRDefault="00000000">
      <w:pPr>
        <w:spacing w:after="200"/>
        <w:jc w:val="both"/>
      </w:pPr>
      <w:r>
        <w:t>The longer-term goal is to pursue a PhD in bioinformatics, building on the foundation established during this internship. The questions that motivated this project, how gene regulation shapes biological rhythms, how computational tools can be used to detect and validate molecular events at scale, and how different data sources can be combined to build a more complete picture, are exactly the kinds of questions I want to keep working on.</w:t>
      </w:r>
    </w:p>
    <w:sectPr w:rsidR="00EE4DA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17225" w:rsidRDefault="00917225">
      <w:r>
        <w:separator/>
      </w:r>
    </w:p>
  </w:endnote>
  <w:endnote w:type="continuationSeparator" w:id="0">
    <w:p w:rsidR="00917225" w:rsidRDefault="00917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4DA6" w:rsidRDefault="00000000">
    <w:pPr>
      <w:pBdr>
        <w:top w:val="single" w:sz="6" w:space="1" w:color="2E75B6"/>
      </w:pBdr>
      <w:jc w:val="right"/>
    </w:pPr>
    <w:r>
      <w:rPr>
        <w:color w:val="666666"/>
        <w:sz w:val="18"/>
        <w:szCs w:val="18"/>
      </w:rPr>
      <w:fldChar w:fldCharType="begin"/>
    </w:r>
    <w:r>
      <w:rPr>
        <w:color w:val="666666"/>
        <w:sz w:val="18"/>
        <w:szCs w:val="18"/>
      </w:rPr>
      <w:instrText>PAGE</w:instrText>
    </w:r>
    <w:r>
      <w:rPr>
        <w:color w:val="666666"/>
        <w:sz w:val="18"/>
        <w:szCs w:val="18"/>
      </w:rPr>
      <w:fldChar w:fldCharType="separate"/>
    </w:r>
    <w:r w:rsidR="00BB6FBE">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17225" w:rsidRDefault="00917225">
      <w:r>
        <w:separator/>
      </w:r>
    </w:p>
  </w:footnote>
  <w:footnote w:type="continuationSeparator" w:id="0">
    <w:p w:rsidR="00917225" w:rsidRDefault="00917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4DA6" w:rsidRDefault="00000000">
    <w:pPr>
      <w:pBdr>
        <w:bottom w:val="single" w:sz="6" w:space="1" w:color="2E75B6"/>
      </w:pBdr>
    </w:pPr>
    <w:r>
      <w:rPr>
        <w:color w:val="666666"/>
        <w:sz w:val="18"/>
        <w:szCs w:val="18"/>
      </w:rPr>
      <w:t>Internship Report  |  Gricey Rangel Trejo  |  IGFL / ENS Lyon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81983"/>
    <w:multiLevelType w:val="hybridMultilevel"/>
    <w:tmpl w:val="DE82CB00"/>
    <w:lvl w:ilvl="0" w:tplc="7A9ACDC2">
      <w:start w:val="1"/>
      <w:numFmt w:val="bullet"/>
      <w:lvlText w:val="●"/>
      <w:lvlJc w:val="left"/>
      <w:pPr>
        <w:ind w:left="720" w:hanging="360"/>
      </w:pPr>
    </w:lvl>
    <w:lvl w:ilvl="1" w:tplc="096E12EE">
      <w:start w:val="1"/>
      <w:numFmt w:val="bullet"/>
      <w:lvlText w:val="○"/>
      <w:lvlJc w:val="left"/>
      <w:pPr>
        <w:ind w:left="1440" w:hanging="360"/>
      </w:pPr>
    </w:lvl>
    <w:lvl w:ilvl="2" w:tplc="B7D01FC6">
      <w:start w:val="1"/>
      <w:numFmt w:val="bullet"/>
      <w:lvlText w:val="■"/>
      <w:lvlJc w:val="left"/>
      <w:pPr>
        <w:ind w:left="2160" w:hanging="360"/>
      </w:pPr>
    </w:lvl>
    <w:lvl w:ilvl="3" w:tplc="354273DC">
      <w:start w:val="1"/>
      <w:numFmt w:val="bullet"/>
      <w:lvlText w:val="●"/>
      <w:lvlJc w:val="left"/>
      <w:pPr>
        <w:ind w:left="2880" w:hanging="360"/>
      </w:pPr>
    </w:lvl>
    <w:lvl w:ilvl="4" w:tplc="27E4C46A">
      <w:start w:val="1"/>
      <w:numFmt w:val="bullet"/>
      <w:lvlText w:val="○"/>
      <w:lvlJc w:val="left"/>
      <w:pPr>
        <w:ind w:left="3600" w:hanging="360"/>
      </w:pPr>
    </w:lvl>
    <w:lvl w:ilvl="5" w:tplc="CA281A62">
      <w:start w:val="1"/>
      <w:numFmt w:val="bullet"/>
      <w:lvlText w:val="■"/>
      <w:lvlJc w:val="left"/>
      <w:pPr>
        <w:ind w:left="4320" w:hanging="360"/>
      </w:pPr>
    </w:lvl>
    <w:lvl w:ilvl="6" w:tplc="9D126420">
      <w:start w:val="1"/>
      <w:numFmt w:val="bullet"/>
      <w:lvlText w:val="●"/>
      <w:lvlJc w:val="left"/>
      <w:pPr>
        <w:ind w:left="5040" w:hanging="360"/>
      </w:pPr>
    </w:lvl>
    <w:lvl w:ilvl="7" w:tplc="8982C9C2">
      <w:start w:val="1"/>
      <w:numFmt w:val="bullet"/>
      <w:lvlText w:val="●"/>
      <w:lvlJc w:val="left"/>
      <w:pPr>
        <w:ind w:left="5760" w:hanging="360"/>
      </w:pPr>
    </w:lvl>
    <w:lvl w:ilvl="8" w:tplc="B44C728E">
      <w:start w:val="1"/>
      <w:numFmt w:val="bullet"/>
      <w:lvlText w:val="●"/>
      <w:lvlJc w:val="left"/>
      <w:pPr>
        <w:ind w:left="6480" w:hanging="360"/>
      </w:pPr>
    </w:lvl>
  </w:abstractNum>
  <w:num w:numId="1" w16cid:durableId="7167024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DA6"/>
    <w:rsid w:val="003966FD"/>
    <w:rsid w:val="00917225"/>
    <w:rsid w:val="00BB6FBE"/>
    <w:rsid w:val="00EE4DA6"/>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5:docId w15:val="{D6D36B4F-D441-344B-AD50-869ED54EE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28"/>
      <w:szCs w:val="28"/>
    </w:rPr>
  </w:style>
  <w:style w:type="paragraph" w:styleId="Heading2">
    <w:name w:val="heading 2"/>
    <w:uiPriority w:val="9"/>
    <w:unhideWhenUsed/>
    <w:qFormat/>
    <w:pPr>
      <w:spacing w:before="240" w:after="120"/>
      <w:outlineLvl w:val="1"/>
    </w:pPr>
    <w:rPr>
      <w:b/>
      <w:bCs/>
      <w:color w:val="2E75B6"/>
    </w:rPr>
  </w:style>
  <w:style w:type="paragraph" w:styleId="Heading3">
    <w:name w:val="heading 3"/>
    <w:uiPriority w:val="9"/>
    <w:unhideWhenUsed/>
    <w:qFormat/>
    <w:pPr>
      <w:spacing w:before="200" w:after="10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BB6F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5781</Words>
  <Characters>32955</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Gricey</cp:lastModifiedBy>
  <cp:revision>2</cp:revision>
  <dcterms:created xsi:type="dcterms:W3CDTF">2026-06-09T13:08:00Z</dcterms:created>
  <dcterms:modified xsi:type="dcterms:W3CDTF">2026-06-09T13:33:00Z</dcterms:modified>
</cp:coreProperties>
</file>