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644C" w:rsidRDefault="00000000">
      <w:pPr>
        <w:pStyle w:val="Heading1"/>
      </w:pPr>
      <w:r>
        <w:t>2. Host Institution and Research Team</w:t>
      </w:r>
    </w:p>
    <w:p w:rsidR="0007644C" w:rsidRDefault="00000000">
      <w:pPr>
        <w:pStyle w:val="Heading2"/>
      </w:pPr>
      <w:r>
        <w:t>2.1 Institut de Genomique Fonctionnelle de Lyon (IGFL)</w:t>
      </w:r>
    </w:p>
    <w:p w:rsidR="0007644C" w:rsidRDefault="00000000">
      <w:pPr>
        <w:spacing w:after="200"/>
        <w:jc w:val="both"/>
      </w:pPr>
      <w:r>
        <w:t>The Institut de Genomique Fonctionnelle de Lyon (IGFL) is a joint research unit (UMR 5242) affiliated with the CNRS, the Ecole Normale Superieure de Lyon (ENS Lyon), and the Universite Claude Bernard Lyon 1. It is located on the ENS Lyon campus in the 7th arrondissement of Lyon, France. The institute brings together research teams working at the intersection of genomics, developmental biology, and evolutionary biology, with a shared focus on understanding gene regulation and its functional consequences at the molecular and cellular level.</w:t>
      </w:r>
    </w:p>
    <w:p w:rsidR="0007644C" w:rsidRDefault="00000000">
      <w:pPr>
        <w:spacing w:after="200"/>
        <w:jc w:val="both"/>
      </w:pPr>
      <w:r>
        <w:t>The IGFL hosts approximately ten research groups and is distinguished by its strong integration of experimental and computational approaches. Its infrastructure supports high-throughput sequencing, proteomics, imaging, and bioinformatics, making it a particularly suitable environment for interdisciplinary projects at the interface of biology and data science.</w:t>
      </w:r>
    </w:p>
    <w:p w:rsidR="0007644C" w:rsidRDefault="00000000">
      <w:pPr>
        <w:pStyle w:val="Heading2"/>
      </w:pPr>
      <w:r>
        <w:t>2.2 The Padmanabhan Research Group</w:t>
      </w:r>
    </w:p>
    <w:p w:rsidR="0007644C" w:rsidRDefault="00000000">
      <w:pPr>
        <w:spacing w:after="200"/>
        <w:jc w:val="both"/>
      </w:pPr>
      <w:r>
        <w:t>The internship was carried out within the research group led by Dr. Kiran Padmanabhan (Research Director</w:t>
      </w:r>
      <w:r w:rsidR="00FA097E">
        <w:rPr>
          <w:lang w:val="en-US"/>
        </w:rPr>
        <w:t xml:space="preserve"> </w:t>
      </w:r>
      <w:r>
        <w:t>and Group Leade</w:t>
      </w:r>
      <w:r w:rsidR="00FA097E">
        <w:rPr>
          <w:lang w:val="en-US"/>
        </w:rPr>
        <w:t>r</w:t>
      </w:r>
      <w:r>
        <w:t>). The group studies the molecular mechanisms that govern circadian rhythms in mammals, with a particular focus on how the circadian clock shapes the transcriptome of peripheral tissues, especially the liver.</w:t>
      </w:r>
    </w:p>
    <w:p w:rsidR="0007644C" w:rsidRDefault="00000000">
      <w:pPr>
        <w:spacing w:after="200"/>
        <w:jc w:val="both"/>
      </w:pPr>
      <w:r>
        <w:t>A central theme of the group's work is the regulation of RNA metabolism by the circadian clock. This includes the rhythmic control of gene expression, alternative splicing, RNA modifications, and poly(A) tail dynamics. To study these processes at high resolution, the group pioneered the use of Oxford Nanopore direct RNA sequencing (long-read sequencing) applied to murine liver tissue, enabling the simultaneous measurement of transcript isoforms, RNA modifications, and poly(A) tail lengths from native RNA molecules without amplification or reverse transcription.</w:t>
      </w:r>
    </w:p>
    <w:p w:rsidR="0007644C" w:rsidRDefault="00000000">
      <w:pPr>
        <w:spacing w:after="200"/>
        <w:jc w:val="both"/>
      </w:pPr>
      <w:r>
        <w:t>The group's most recent work, currently under review for publication (Chikhaoui, Mamgain et al.), investigates how PERIOD proteins (PER1 and PER2) influence the targeting of splicing factors to chromatin, and the downstream consequences on circadian transcriptome diversity. This manuscript constitutes the scientific context of the present internship, and the analyses described in this report directly support the validation of its findings.</w:t>
      </w:r>
    </w:p>
    <w:p w:rsidR="0007644C" w:rsidRDefault="00000000">
      <w:pPr>
        <w:pStyle w:val="Heading2"/>
      </w:pPr>
      <w:r>
        <w:t>2.3 Working Environment</w:t>
      </w:r>
    </w:p>
    <w:p w:rsidR="0007644C" w:rsidRDefault="00000000">
      <w:pPr>
        <w:spacing w:after="200"/>
        <w:jc w:val="both"/>
      </w:pPr>
      <w:r>
        <w:t>Day-to-day supervision was provided by Khushi Mamgain (PhD student and co-first author of the manuscript under review), who guided the scientific direction of the analyses and provided the processed Nanopore datasets used in Project 1. Additional methodological input was provided by Dr. Bharath Ananthasubramaniam (computational biologist and collaborator), who contributed the pipeline scripts used as a starting point for Project 2. The computational work was carried out on a laboratory-provided Mac workstation, using a combination of Bash scripting, Python, and R, with version control managed through GitHub.</w:t>
      </w:r>
    </w:p>
    <w:sectPr w:rsidR="0007644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147F" w:rsidRDefault="0003147F">
      <w:r>
        <w:separator/>
      </w:r>
    </w:p>
  </w:endnote>
  <w:endnote w:type="continuationSeparator" w:id="0">
    <w:p w:rsidR="0003147F" w:rsidRDefault="00031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44C"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FA097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147F" w:rsidRDefault="0003147F">
      <w:r>
        <w:separator/>
      </w:r>
    </w:p>
  </w:footnote>
  <w:footnote w:type="continuationSeparator" w:id="0">
    <w:p w:rsidR="0003147F" w:rsidRDefault="00031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44C"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F5D0B"/>
    <w:multiLevelType w:val="hybridMultilevel"/>
    <w:tmpl w:val="6F0EFEB8"/>
    <w:lvl w:ilvl="0" w:tplc="7034F312">
      <w:start w:val="1"/>
      <w:numFmt w:val="bullet"/>
      <w:lvlText w:val="●"/>
      <w:lvlJc w:val="left"/>
      <w:pPr>
        <w:ind w:left="720" w:hanging="360"/>
      </w:pPr>
    </w:lvl>
    <w:lvl w:ilvl="1" w:tplc="9FB6A892">
      <w:start w:val="1"/>
      <w:numFmt w:val="bullet"/>
      <w:lvlText w:val="○"/>
      <w:lvlJc w:val="left"/>
      <w:pPr>
        <w:ind w:left="1440" w:hanging="360"/>
      </w:pPr>
    </w:lvl>
    <w:lvl w:ilvl="2" w:tplc="7C5A0926">
      <w:start w:val="1"/>
      <w:numFmt w:val="bullet"/>
      <w:lvlText w:val="■"/>
      <w:lvlJc w:val="left"/>
      <w:pPr>
        <w:ind w:left="2160" w:hanging="360"/>
      </w:pPr>
    </w:lvl>
    <w:lvl w:ilvl="3" w:tplc="3D68507E">
      <w:start w:val="1"/>
      <w:numFmt w:val="bullet"/>
      <w:lvlText w:val="●"/>
      <w:lvlJc w:val="left"/>
      <w:pPr>
        <w:ind w:left="2880" w:hanging="360"/>
      </w:pPr>
    </w:lvl>
    <w:lvl w:ilvl="4" w:tplc="7E2CC5FA">
      <w:start w:val="1"/>
      <w:numFmt w:val="bullet"/>
      <w:lvlText w:val="○"/>
      <w:lvlJc w:val="left"/>
      <w:pPr>
        <w:ind w:left="3600" w:hanging="360"/>
      </w:pPr>
    </w:lvl>
    <w:lvl w:ilvl="5" w:tplc="C5CCAD9A">
      <w:start w:val="1"/>
      <w:numFmt w:val="bullet"/>
      <w:lvlText w:val="■"/>
      <w:lvlJc w:val="left"/>
      <w:pPr>
        <w:ind w:left="4320" w:hanging="360"/>
      </w:pPr>
    </w:lvl>
    <w:lvl w:ilvl="6" w:tplc="9C2A8868">
      <w:start w:val="1"/>
      <w:numFmt w:val="bullet"/>
      <w:lvlText w:val="●"/>
      <w:lvlJc w:val="left"/>
      <w:pPr>
        <w:ind w:left="5040" w:hanging="360"/>
      </w:pPr>
    </w:lvl>
    <w:lvl w:ilvl="7" w:tplc="60B46446">
      <w:start w:val="1"/>
      <w:numFmt w:val="bullet"/>
      <w:lvlText w:val="●"/>
      <w:lvlJc w:val="left"/>
      <w:pPr>
        <w:ind w:left="5760" w:hanging="360"/>
      </w:pPr>
    </w:lvl>
    <w:lvl w:ilvl="8" w:tplc="3160BFC2">
      <w:start w:val="1"/>
      <w:numFmt w:val="bullet"/>
      <w:lvlText w:val="●"/>
      <w:lvlJc w:val="left"/>
      <w:pPr>
        <w:ind w:left="6480" w:hanging="360"/>
      </w:pPr>
    </w:lvl>
  </w:abstractNum>
  <w:num w:numId="1" w16cid:durableId="376007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44C"/>
    <w:rsid w:val="0003147F"/>
    <w:rsid w:val="0007644C"/>
    <w:rsid w:val="000C5976"/>
    <w:rsid w:val="00FA097E"/>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DAC9B47"/>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097E"/>
    <w:pPr>
      <w:tabs>
        <w:tab w:val="center" w:pos="4513"/>
        <w:tab w:val="right" w:pos="9026"/>
      </w:tabs>
    </w:pPr>
  </w:style>
  <w:style w:type="character" w:customStyle="1" w:styleId="HeaderChar">
    <w:name w:val="Header Char"/>
    <w:basedOn w:val="DefaultParagraphFont"/>
    <w:link w:val="Header"/>
    <w:uiPriority w:val="99"/>
    <w:rsid w:val="00FA097E"/>
  </w:style>
  <w:style w:type="paragraph" w:styleId="Footer">
    <w:name w:val="footer"/>
    <w:basedOn w:val="Normal"/>
    <w:link w:val="FooterChar"/>
    <w:uiPriority w:val="99"/>
    <w:unhideWhenUsed/>
    <w:rsid w:val="00FA097E"/>
    <w:pPr>
      <w:tabs>
        <w:tab w:val="center" w:pos="4513"/>
        <w:tab w:val="right" w:pos="9026"/>
      </w:tabs>
    </w:pPr>
  </w:style>
  <w:style w:type="character" w:customStyle="1" w:styleId="FooterChar">
    <w:name w:val="Footer Char"/>
    <w:basedOn w:val="DefaultParagraphFont"/>
    <w:link w:val="Footer"/>
    <w:uiPriority w:val="99"/>
    <w:rsid w:val="00FA09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2</cp:revision>
  <dcterms:created xsi:type="dcterms:W3CDTF">2026-06-08T11:28:00Z</dcterms:created>
  <dcterms:modified xsi:type="dcterms:W3CDTF">2026-06-08T13:07:00Z</dcterms:modified>
</cp:coreProperties>
</file>