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3. Scientific and Technical Background</w:t>
      </w:r>
    </w:p>
    <w:p>
      <w:pPr>
        <w:pStyle w:val="Heading2"/>
      </w:pPr>
      <w:r>
        <w:rPr>
          <w:rFonts w:ascii="Arial" w:cs="Arial" w:eastAsia="Arial" w:hAnsi="Arial"/>
          <w:b/>
          <w:bCs/>
          <w:color w:val="2E75B6"/>
          <w:sz w:val="24"/>
          <w:szCs w:val="24"/>
        </w:rPr>
        <w:t xml:space="preserve">3.1 From gene to isoform: the central dogma and alternative splicing</w:t>
      </w:r>
    </w:p>
    <w:p>
      <w:pPr>
        <w:spacing w:after="200"/>
        <w:jc w:val="both"/>
      </w:pPr>
      <w:r>
        <w:rPr>
          <w:rFonts w:ascii="Arial" w:cs="Arial" w:eastAsia="Arial" w:hAnsi="Arial"/>
          <w:sz w:val="24"/>
          <w:szCs w:val="24"/>
        </w:rPr>
        <w:t xml:space="preserve">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process called splicing, producing a mature messenger RNA (mRNA). The mRNA is then translated into a protein.</w:t>
      </w:r>
    </w:p>
    <w:p>
      <w:pPr>
        <w:spacing w:after="200" w:before="200"/>
        <w:jc w:val="center"/>
      </w:pPr>
      <w:r>
        <w:rPr>
          <w:rFonts w:ascii="Arial" w:cs="Arial" w:eastAsia="Arial" w:hAnsi="Arial"/>
          <w:i/>
          <w:iCs/>
          <w:color w:val="888888"/>
          <w:sz w:val="22"/>
          <w:szCs w:val="22"/>
        </w:rPr>
        <w:t xml:space="preserve">[ Figure 1: central dogma diagram — insert fig1_central_dogma.png here ]</w:t>
      </w:r>
    </w:p>
    <w:p>
      <w:pPr>
        <w:spacing w:after="200"/>
        <w:jc w:val="both"/>
      </w:pPr>
      <w:r>
        <w:rPr>
          <w:rFonts w:ascii="Arial" w:cs="Arial" w:eastAsia="Arial" w:hAnsi="Arial"/>
          <w:sz w:val="24"/>
          <w:szCs w:val="24"/>
        </w:rPr>
        <w:t xml:space="preserve">What makes this process particularly interesting from a computational standpoint is that the splicing step is not always identical. Different combinations of exons can be joined, producing distinct transcript isoforms from the same gene. This is called alternative splicing (AS). It is estimated that over 90% of human multi-exon genes undergo alternative splicing (Chikhaoui, 2022), making it one of the main mechanisms by which a relatively compact genome can generate a large diversity of functional products.</w:t>
      </w:r>
    </w:p>
    <w:p>
      <w:pPr>
        <w:spacing w:after="200"/>
        <w:jc w:val="both"/>
      </w:pPr>
      <w:r>
        <w:rPr>
          <w:rFonts w:ascii="Arial" w:cs="Arial" w:eastAsia="Arial" w:hAnsi="Arial"/>
          <w:sz w:val="24"/>
          <w:szCs w:val="24"/>
        </w:rPr>
        <w:t xml:space="preserve">Five main types of alternative splicing events have been described and are the ones detected by the SUPPA2 tool used in this project. Each event type describes a different way in which the splicing of a pre-mRNA can vary between two isoforms:</w:t>
      </w:r>
    </w:p>
    <w:p>
      <w:pPr>
        <w:spacing w:after="200" w:before="200"/>
        <w:jc w:val="center"/>
      </w:pPr>
      <w:r>
        <w:rPr>
          <w:rFonts w:ascii="Arial" w:cs="Arial" w:eastAsia="Arial" w:hAnsi="Arial"/>
          <w:i/>
          <w:iCs/>
          <w:color w:val="888888"/>
          <w:sz w:val="22"/>
          <w:szCs w:val="22"/>
        </w:rPr>
        <w:t xml:space="preserve">[ Figure 2: AS event types diagram — insert fig2_as_event_types.png here ]</w:t>
      </w:r>
    </w:p>
    <w:p>
      <w:pPr>
        <w:spacing w:after="80" w:before="100"/>
        <w:jc w:val="both"/>
      </w:pPr>
      <w:r>
        <w:rPr>
          <w:rFonts w:ascii="Arial" w:cs="Arial" w:eastAsia="Arial" w:hAnsi="Arial"/>
          <w:sz w:val="24"/>
          <w:szCs w:val="24"/>
        </w:rPr>
        <w:t xml:space="preserve">Skipped exon (SE)</w:t>
      </w:r>
      <w:r>
        <w:rPr>
          <w:rFonts w:ascii="Arial" w:cs="Arial" w:eastAsia="Arial" w:hAnsi="Arial"/>
          <w:b w:val="false"/>
          <w:bCs w:val="false"/>
          <w:sz w:val="24"/>
          <w:szCs w:val="24"/>
        </w:rPr>
        <w:t xml:space="preserve">: an exon present in one isoform is completely absent in the other. Exon skipping is the most common event type in mammals (Chikhaoui, 2022).</w:t>
      </w:r>
    </w:p>
    <w:p>
      <w:pPr>
        <w:spacing w:after="80" w:before="0"/>
        <w:jc w:val="both"/>
      </w:pPr>
      <w:r>
        <w:rPr>
          <w:rFonts w:ascii="Arial" w:cs="Arial" w:eastAsia="Arial" w:hAnsi="Arial"/>
          <w:sz w:val="24"/>
          <w:szCs w:val="24"/>
        </w:rPr>
        <w:t xml:space="preserve">Retained intron (RI)</w:t>
      </w:r>
      <w:r>
        <w:rPr>
          <w:rFonts w:ascii="Arial" w:cs="Arial" w:eastAsia="Arial" w:hAnsi="Arial"/>
          <w:b w:val="false"/>
          <w:bCs w:val="false"/>
          <w:sz w:val="24"/>
          <w:szCs w:val="24"/>
        </w:rPr>
        <w:t xml:space="preserve">: an intronic region that is normally removed stays in the mature mRNA. This often renders the transcript non-functional and can target it for degradation (Chikhaoui, 2022).</w:t>
      </w:r>
    </w:p>
    <w:p>
      <w:pPr>
        <w:spacing w:after="80" w:before="0"/>
        <w:jc w:val="both"/>
      </w:pPr>
      <w:r>
        <w:rPr>
          <w:rFonts w:ascii="Arial" w:cs="Arial" w:eastAsia="Arial" w:hAnsi="Arial"/>
          <w:sz w:val="24"/>
          <w:szCs w:val="24"/>
        </w:rPr>
        <w:t xml:space="preserve">Alternative 3' splice site (A3)</w:t>
      </w:r>
      <w:r>
        <w:rPr>
          <w:rFonts w:ascii="Arial" w:cs="Arial" w:eastAsia="Arial" w:hAnsi="Arial"/>
          <w:b w:val="false"/>
          <w:bCs w:val="false"/>
          <w:sz w:val="24"/>
          <w:szCs w:val="24"/>
        </w:rPr>
        <w:t xml:space="preserve">: the boundary at the 3' end of an intron is shifted, producing an exon that is longer or shorter in one isoform.</w:t>
      </w:r>
    </w:p>
    <w:p>
      <w:pPr>
        <w:spacing w:after="80" w:before="0"/>
        <w:jc w:val="both"/>
      </w:pPr>
      <w:r>
        <w:rPr>
          <w:rFonts w:ascii="Arial" w:cs="Arial" w:eastAsia="Arial" w:hAnsi="Arial"/>
          <w:sz w:val="24"/>
          <w:szCs w:val="24"/>
        </w:rPr>
        <w:t xml:space="preserve">Alternative 5' splice site (A5)</w:t>
      </w:r>
      <w:r>
        <w:rPr>
          <w:rFonts w:ascii="Arial" w:cs="Arial" w:eastAsia="Arial" w:hAnsi="Arial"/>
          <w:b w:val="false"/>
          <w:bCs w:val="false"/>
          <w:sz w:val="24"/>
          <w:szCs w:val="24"/>
        </w:rPr>
        <w:t xml:space="preserve">: same idea as A3 but at the 5' end of the intron.</w:t>
      </w:r>
    </w:p>
    <w:p>
      <w:pPr>
        <w:spacing w:after="200" w:before="0"/>
        <w:jc w:val="both"/>
      </w:pPr>
      <w:r>
        <w:rPr>
          <w:rFonts w:ascii="Arial" w:cs="Arial" w:eastAsia="Arial" w:hAnsi="Arial"/>
          <w:sz w:val="24"/>
          <w:szCs w:val="24"/>
        </w:rPr>
        <w:t xml:space="preserve">Mutually exclusive exons (MX)</w:t>
      </w:r>
      <w:r>
        <w:rPr>
          <w:rFonts w:ascii="Arial" w:cs="Arial" w:eastAsia="Arial" w:hAnsi="Arial"/>
          <w:b w:val="false"/>
          <w:bCs w:val="false"/>
          <w:sz w:val="24"/>
          <w:szCs w:val="24"/>
        </w:rPr>
        <w:t xml:space="preserve">: two exons are present in the gene, but only one can appear in any given isoform.</w:t>
      </w:r>
    </w:p>
    <w:p>
      <w:pPr>
        <w:spacing w:after="200"/>
        <w:jc w:val="both"/>
      </w:pPr>
      <w:r>
        <w:rPr>
          <w:rFonts w:ascii="Arial" w:cs="Arial" w:eastAsia="Arial" w:hAnsi="Arial"/>
          <w:sz w:val="24"/>
          <w:szCs w:val="24"/>
        </w:rPr>
        <w:t xml:space="preserve">The quantification of how often each isoform is produced is captured by a metric called PSI (Percent Spliced In). PSI is a value between 0 and 1 that represents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pPr>
        <w:spacing w:after="200" w:before="200"/>
        <w:jc w:val="center"/>
      </w:pPr>
      <w:r>
        <w:rPr>
          <w:rFonts w:ascii="Arial" w:cs="Arial" w:eastAsia="Arial" w:hAnsi="Arial"/>
          <w:i/>
          <w:iCs/>
          <w:color w:val="888888"/>
          <w:sz w:val="22"/>
          <w:szCs w:val="22"/>
        </w:rPr>
        <w:t xml:space="preserve">[ Figure 3: PSI metric diagram — insert fig3_psi_metric.png here ]</w:t>
      </w:r>
    </w:p>
    <w:p>
      <w:pPr>
        <w:pStyle w:val="Heading2"/>
      </w:pPr>
      <w:r>
        <w:rPr>
          <w:rFonts w:ascii="Arial" w:cs="Arial" w:eastAsia="Arial" w:hAnsi="Arial"/>
          <w:b/>
          <w:bCs/>
          <w:color w:val="2E75B6"/>
          <w:sz w:val="24"/>
          <w:szCs w:val="24"/>
        </w:rPr>
        <w:t xml:space="preserve">3.2 Circadian context: why alternative splicing matters here</w:t>
      </w:r>
    </w:p>
    <w:p>
      <w:pPr>
        <w:spacing w:after="200"/>
        <w:jc w:val="both"/>
      </w:pPr>
      <w:r>
        <w:rPr>
          <w:rFonts w:ascii="Arial" w:cs="Arial" w:eastAsia="Arial" w:hAnsi="Arial"/>
          <w:sz w:val="24"/>
          <w:szCs w:val="24"/>
        </w:rP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(Chikhaoui, 2022), with the strongest signal at CT20, the time point when PER protein levels are at their peak in wild-type animals.</w:t>
      </w:r>
    </w:p>
    <w:p>
      <w:pPr>
        <w:spacing w:after="200"/>
        <w:jc w:val="both"/>
      </w:pPr>
      <w:r>
        <w:rPr>
          <w:rFonts w:ascii="Arial" w:cs="Arial" w:eastAsia="Arial" w:hAnsi="Arial"/>
          <w:sz w:val="24"/>
          <w:szCs w:val="24"/>
        </w:rPr>
        <w:t xml:space="preserve">The computational work in this internship sits directly within this context. Project 1 benchmarks the tool used to detect those splicing events. Project 2 aims to validate the findings using an independent dataset generated with a different sequencing technology.</w:t>
      </w:r>
    </w:p>
    <w:p>
      <w:pPr>
        <w:pStyle w:val="Heading2"/>
      </w:pPr>
      <w:r>
        <w:rPr>
          <w:rFonts w:ascii="Arial" w:cs="Arial" w:eastAsia="Arial" w:hAnsi="Arial"/>
          <w:b/>
          <w:bCs/>
          <w:color w:val="2E75B6"/>
          <w:sz w:val="24"/>
          <w:szCs w:val="24"/>
        </w:rPr>
        <w:t xml:space="preserve">3.3 Two sequencing technologies: Nanopore and Illumina</w:t>
      </w:r>
    </w:p>
    <w:p>
      <w:pPr>
        <w:spacing w:after="200"/>
        <w:jc w:val="both"/>
      </w:pPr>
      <w:r>
        <w:rPr>
          <w:rFonts w:ascii="Arial" w:cs="Arial" w:eastAsia="Arial" w:hAnsi="Arial"/>
          <w:sz w:val="24"/>
          <w:szCs w:val="24"/>
        </w:rPr>
        <w:t xml:space="preserve">Both projects involve RNA-seq data, but from two different sequencing platforms. Understanding the difference between them is important for understanding why an orthogonal validation is needed.</w:t>
      </w:r>
    </w:p>
    <w:p>
      <w:pPr>
        <w:spacing w:after="2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5B6"/>
            <w:tcMar>
              <w:top w:type="dxa" w:w="80"/>
              <w:left w:type="dxa" w:w="120"/>
              <w:bottom w:type="dxa" w:w="80"/>
              <w:right w:type="dxa" w:w="120"/>
            </w:tcMar>
          </w:tcPr>
          <w:p>
            <w:r>
              <w:rPr>
                <w:rFonts w:ascii="Arial" w:cs="Arial" w:eastAsia="Arial" w:hAnsi="Arial"/>
                <w:b/>
                <w:bCs/>
                <w:sz w:val="20"/>
                <w:szCs w:val="20"/>
              </w:rPr>
              <w:t xml:space="preserve"/>
            </w:r>
          </w:p>
        </w:tc>
        <w:tc>
          <w:tcPr>
            <w:shd w:fill="2E75B6"/>
            <w:tcMar>
              <w:top w:type="dxa" w:w="80"/>
              <w:left w:type="dxa" w:w="120"/>
              <w:bottom w:type="dxa" w:w="80"/>
              <w:right w:type="dxa" w:w="120"/>
            </w:tcMar>
          </w:tcPr>
          <w:p>
            <w:r>
              <w:rPr>
                <w:rFonts w:ascii="Arial" w:cs="Arial" w:eastAsia="Arial" w:hAnsi="Arial"/>
                <w:b/>
                <w:bCs/>
                <w:sz w:val="20"/>
                <w:szCs w:val="20"/>
              </w:rPr>
              <w:t xml:space="preserve">Nanopore (long-read)</w:t>
            </w:r>
          </w:p>
        </w:tc>
        <w:tc>
          <w:tcPr>
            <w:shd w:fill="2E75B6"/>
            <w:tcMar>
              <w:top w:type="dxa" w:w="80"/>
              <w:left w:type="dxa" w:w="120"/>
              <w:bottom w:type="dxa" w:w="80"/>
              <w:right w:type="dxa" w:w="120"/>
            </w:tcMar>
          </w:tcPr>
          <w:p>
            <w:r>
              <w:rPr>
                <w:rFonts w:ascii="Arial" w:cs="Arial" w:eastAsia="Arial" w:hAnsi="Arial"/>
                <w:b/>
                <w:bCs/>
                <w:sz w:val="20"/>
                <w:szCs w:val="20"/>
              </w:rPr>
              <w:t xml:space="preserve">Illumina (short-read)</w:t>
            </w:r>
          </w:p>
        </w:tc>
      </w:tr>
      <w:tr>
        <w:tc>
          <w:tcPr>
            <w:shd w:fill="FFFFFF"/>
            <w:tcMar>
              <w:top w:type="dxa" w:w="80"/>
              <w:left w:type="dxa" w:w="120"/>
              <w:bottom w:type="dxa" w:w="80"/>
              <w:right w:type="dxa" w:w="120"/>
            </w:tcMar>
          </w:tcPr>
          <w:p>
            <w:r>
              <w:rPr>
                <w:rFonts w:ascii="Arial" w:cs="Arial" w:eastAsia="Arial" w:hAnsi="Arial"/>
                <w:b w:val="false"/>
                <w:bCs w:val="false"/>
                <w:sz w:val="20"/>
                <w:szCs w:val="20"/>
              </w:rPr>
              <w:t xml:space="preserve">Read length</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Up to ~50,000 nt</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~150 nt</w:t>
            </w:r>
          </w:p>
        </w:tc>
      </w:tr>
      <w:tr>
        <w:tc>
          <w:tcPr>
            <w:shd w:fill="FFFFFF"/>
            <w:tcMar>
              <w:top w:type="dxa" w:w="80"/>
              <w:left w:type="dxa" w:w="120"/>
              <w:bottom w:type="dxa" w:w="80"/>
              <w:right w:type="dxa" w:w="120"/>
            </w:tcMar>
          </w:tcPr>
          <w:p>
            <w:r>
              <w:rPr>
                <w:rFonts w:ascii="Arial" w:cs="Arial" w:eastAsia="Arial" w:hAnsi="Arial"/>
                <w:b w:val="false"/>
                <w:bCs w:val="false"/>
                <w:sz w:val="20"/>
                <w:szCs w:val="20"/>
              </w:rPr>
              <w:t xml:space="preserve">Output</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Full-length isoforms</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Short fragments</w:t>
            </w:r>
          </w:p>
        </w:tc>
      </w:tr>
      <w:tr>
        <w:tc>
          <w:tcPr>
            <w:shd w:fill="FFFFFF"/>
            <w:tcMar>
              <w:top w:type="dxa" w:w="80"/>
              <w:left w:type="dxa" w:w="120"/>
              <w:bottom w:type="dxa" w:w="80"/>
              <w:right w:type="dxa" w:w="120"/>
            </w:tcMar>
          </w:tcPr>
          <w:p>
            <w:r>
              <w:rPr>
                <w:rFonts w:ascii="Arial" w:cs="Arial" w:eastAsia="Arial" w:hAnsi="Arial"/>
                <w:b w:val="false"/>
                <w:bCs w:val="false"/>
                <w:sz w:val="20"/>
                <w:szCs w:val="20"/>
              </w:rPr>
              <w:t xml:space="preserve">Isoform detection</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Direct, unambiguous</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Inferred from fragments</w:t>
            </w:r>
          </w:p>
        </w:tc>
      </w:tr>
      <w:tr>
        <w:tc>
          <w:tcPr>
            <w:shd w:fill="FFFFFF"/>
            <w:tcMar>
              <w:top w:type="dxa" w:w="80"/>
              <w:left w:type="dxa" w:w="120"/>
              <w:bottom w:type="dxa" w:w="80"/>
              <w:right w:type="dxa" w:w="120"/>
            </w:tcMar>
          </w:tcPr>
          <w:p>
            <w:r>
              <w:rPr>
                <w:rFonts w:ascii="Arial" w:cs="Arial" w:eastAsia="Arial" w:hAnsi="Arial"/>
                <w:b w:val="false"/>
                <w:bCs w:val="false"/>
                <w:sz w:val="20"/>
                <w:szCs w:val="20"/>
              </w:rPr>
              <w:t xml:space="preserve">Sequencing depth</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Lower</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Higher</w:t>
            </w:r>
          </w:p>
        </w:tc>
      </w:tr>
      <w:tr>
        <w:tc>
          <w:tcPr>
            <w:shd w:fill="FFFFFF"/>
            <w:tcMar>
              <w:top w:type="dxa" w:w="80"/>
              <w:left w:type="dxa" w:w="120"/>
              <w:bottom w:type="dxa" w:w="80"/>
              <w:right w:type="dxa" w:w="120"/>
            </w:tcMar>
          </w:tcPr>
          <w:p>
            <w:r>
              <w:rPr>
                <w:rFonts w:ascii="Arial" w:cs="Arial" w:eastAsia="Arial" w:hAnsi="Arial"/>
                <w:b w:val="false"/>
                <w:bCs w:val="false"/>
                <w:sz w:val="20"/>
                <w:szCs w:val="20"/>
              </w:rPr>
              <w:t xml:space="preserve">Error rate</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Higher (raw reads)</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Lower</w:t>
            </w:r>
          </w:p>
        </w:tc>
      </w:tr>
      <w:tr>
        <w:tc>
          <w:tcPr>
            <w:shd w:fill="FFFFFF"/>
            <w:tcMar>
              <w:top w:type="dxa" w:w="80"/>
              <w:left w:type="dxa" w:w="120"/>
              <w:bottom w:type="dxa" w:w="80"/>
              <w:right w:type="dxa" w:w="120"/>
            </w:tcMar>
          </w:tcPr>
          <w:p>
            <w:r>
              <w:rPr>
                <w:rFonts w:ascii="Arial" w:cs="Arial" w:eastAsia="Arial" w:hAnsi="Arial"/>
                <w:b w:val="false"/>
                <w:bCs w:val="false"/>
                <w:sz w:val="20"/>
                <w:szCs w:val="20"/>
              </w:rPr>
              <w:t xml:space="preserve">Use in this project</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Primary splicing data (Project 1)</w:t>
            </w:r>
          </w:p>
        </w:tc>
        <w:tc>
          <w:tcPr>
            <w:shd w:fill="FFFFFF"/>
            <w:tcMar>
              <w:top w:type="dxa" w:w="80"/>
              <w:left w:type="dxa" w:w="120"/>
              <w:bottom w:type="dxa" w:w="80"/>
              <w:right w:type="dxa" w:w="120"/>
            </w:tcMar>
          </w:tcPr>
          <w:p>
            <w:r>
              <w:rPr>
                <w:rFonts w:ascii="Arial" w:cs="Arial" w:eastAsia="Arial" w:hAnsi="Arial"/>
                <w:b w:val="false"/>
                <w:bCs w:val="false"/>
                <w:sz w:val="20"/>
                <w:szCs w:val="20"/>
              </w:rPr>
              <w:t xml:space="preserve">Orthogonal validation (Project 2)</w:t>
            </w:r>
          </w:p>
        </w:tc>
      </w:tr>
    </w:tbl>
    <w:p>
      <w:pPr>
        <w:spacing w:after="0" w:before="200"/>
      </w:pPr>
    </w:p>
    <w:p>
      <w:pPr>
        <w:spacing w:after="200"/>
        <w:jc w:val="both"/>
      </w:pPr>
      <w:r>
        <w:rPr>
          <w:rFonts w:ascii="Arial" w:cs="Arial" w:eastAsia="Arial" w:hAnsi="Arial"/>
          <w:sz w:val="24"/>
          <w:szCs w:val="24"/>
        </w:rPr>
        <w:t xml:space="preserve">Nanopore long-read sequencing reads entire RNA molecules from end to end, producing reads that can span thousands of nucleotides. This makes it possible to directly observe which exons are present in a single transcript, without having to reconstruct isoforms from fragments. The downside is that it generates fewer total reads per experiment compared to Illumina, and the raw reads have a higher error rate. Illumina short-read sequencing, by contrast, produces millions of short fragments (around 150 nucleotides each). These fragments must be assembled and mapped back to a reference to infer which isoforms were present, which introduces some ambiguity. However, Illumina data is much deeper and more widely available, including in public repositories.</w:t>
      </w:r>
    </w:p>
    <w:p>
      <w:pPr>
        <w:spacing w:after="200"/>
        <w:jc w:val="both"/>
      </w:pPr>
      <w:r>
        <w:rPr>
          <w:rFonts w:ascii="Arial" w:cs="Arial" w:eastAsia="Arial" w:hAnsi="Arial"/>
          <w:sz w:val="24"/>
          <w:szCs w:val="24"/>
        </w:rPr>
        <w:t xml:space="preserve">The key point for this project is that both platforms are looking at the same biological phenomenon (alternative splicing) from different angles. If the splicing events detected from Nanopore data are also detectable in independent Illumina data from a comparable experiment, that is strong evidence that the findings are real and not artifacts of the sequencing method.</w:t>
      </w:r>
    </w:p>
    <w:p>
      <w:pPr>
        <w:pStyle w:val="Heading2"/>
      </w:pPr>
      <w:r>
        <w:rPr>
          <w:rFonts w:ascii="Arial" w:cs="Arial" w:eastAsia="Arial" w:hAnsi="Arial"/>
          <w:b/>
          <w:bCs/>
          <w:color w:val="2E75B6"/>
          <w:sz w:val="24"/>
          <w:szCs w:val="24"/>
        </w:rPr>
        <w:t xml:space="preserve">3.4 Key tools</w:t>
      </w:r>
    </w:p>
    <w:p>
      <w:pPr>
        <w:spacing w:after="200"/>
        <w:jc w:val="both"/>
      </w:pPr>
      <w:r>
        <w:rPr>
          <w:rFonts w:ascii="Arial" w:cs="Arial" w:eastAsia="Arial" w:hAnsi="Arial"/>
          <w:sz w:val="24"/>
          <w:szCs w:val="24"/>
        </w:rPr>
        <w:t xml:space="preserve">SUPPA2</w:t>
      </w:r>
      <w:r>
        <w:rPr>
          <w:rFonts w:ascii="Arial" w:cs="Arial" w:eastAsia="Arial" w:hAnsi="Arial"/>
          <w:sz w:val="24"/>
          <w:szCs w:val="24"/>
        </w:rPr>
        <w:t xml:space="preserve"> is the main splicing analysis tool used in both projects (Trincado et al., 2018). Given a reference transcriptome annotation (a GTF file listing all known transcripts), SUPPA2 first identifies all possible alternative splicing events and their coordinates. It then quantifies each event using transcript expression values (TPM, transcripts per million) produced by a quantification tool. Finally, it computes PSI values per sample and runs a statistical test to identify events that are significantly different between conditions (diffSplice). In this project, the reference annotation used is a custom GTF file derived from the laboratory's Nanopore data, containing 155,263 transcripts including novel isoforms discovered by the lab (Chikhaoui, 2022).</w:t>
      </w:r>
    </w:p>
    <w:p>
      <w:pPr>
        <w:spacing w:after="200"/>
        <w:jc w:val="both"/>
      </w:pPr>
      <w:r>
        <w:rPr>
          <w:rFonts w:ascii="Arial" w:cs="Arial" w:eastAsia="Arial" w:hAnsi="Arial"/>
          <w:sz w:val="24"/>
          <w:szCs w:val="24"/>
        </w:rPr>
        <w:t xml:space="preserve">Salmon</w:t>
      </w:r>
      <w:r>
        <w:rPr>
          <w:rFonts w:ascii="Arial" w:cs="Arial" w:eastAsia="Arial" w:hAnsi="Arial"/>
          <w:sz w:val="24"/>
          <w:szCs w:val="24"/>
        </w:rPr>
        <w:t xml:space="preserve"> is a transcript quantification tool (Patro et al., 2017) that takes RNA-seq reads and a reference transcriptome and estimates how much each transcript is expressed (in TPM). It uses a lightweight alignment approach that is very fast compared to traditional aligners. Its output is used directly as input to SUPPA2 for PSI computation. In Project 2, Salmon was also used to re-quantify publicly available Illumina reads against the laboratory's custom transcriptome.</w:t>
      </w:r>
    </w:p>
    <w:p>
      <w:pPr>
        <w:spacing w:after="200"/>
        <w:jc w:val="both"/>
      </w:pPr>
      <w:r>
        <w:rPr>
          <w:rFonts w:ascii="Arial" w:cs="Arial" w:eastAsia="Arial" w:hAnsi="Arial"/>
          <w:sz w:val="24"/>
          <w:szCs w:val="24"/>
        </w:rPr>
        <w:t xml:space="preserve">IGV (Integrative Genomics Viewer)</w:t>
      </w:r>
      <w:r>
        <w:rPr>
          <w:rFonts w:ascii="Arial" w:cs="Arial" w:eastAsia="Arial" w:hAnsi="Arial"/>
          <w:sz w:val="24"/>
          <w:szCs w:val="24"/>
        </w:rPr>
        <w:t xml:space="preserve"> is a visualization tool (Robinson et al., 2011) used to inspect splicing events at specific genomic loci. After identifying candidate events computationally, IGV was used to manually verify that the transcript structures detected by SUPPA2 were visually consistent with the underlying read data. This is an important sanity check before reporting any finding.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2026-06-08T15:21:58.251Z</dcterms:created>
  <dcterms:modified xsi:type="dcterms:W3CDTF">2026-06-08T15:21:58.262Z</dcterms:modified>
</cp:coreProperties>
</file>

<file path=docProps/custom.xml><?xml version="1.0" encoding="utf-8"?>
<Properties xmlns="http://schemas.openxmlformats.org/officeDocument/2006/custom-properties" xmlns:vt="http://schemas.openxmlformats.org/officeDocument/2006/docPropsVTypes"/>
</file>