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2E75B6"/>
          <w:sz w:val="28"/>
          <w:szCs w:val="28"/>
        </w:rPr>
        <w:t xml:space="preserve">6. Project 2: Orthogonal Validation of Nanopore Alternative Splicing with Illumina Short-Read RNA-seq</w:t>
      </w:r>
    </w:p>
    <w:p>
      <w:pPr>
        <w:pStyle w:val="Heading2"/>
      </w:pPr>
      <w:r>
        <w:rPr>
          <w:rFonts w:ascii="Arial" w:cs="Arial" w:eastAsia="Arial" w:hAnsi="Arial"/>
          <w:b/>
          <w:bCs/>
          <w:color w:val="2E75B6"/>
          <w:sz w:val="24"/>
          <w:szCs w:val="24"/>
        </w:rPr>
        <w:t xml:space="preserve">6.1 Objective</w:t>
      </w:r>
    </w:p>
    <w:p>
      <w:pPr>
        <w:spacing w:after="200"/>
        <w:jc w:val="both"/>
      </w:pPr>
      <w:r>
        <w:rPr>
          <w:rFonts w:ascii="Arial" w:cs="Arial" w:eastAsia="Arial" w:hAnsi="Arial"/>
          <w:sz w:val="24"/>
          <w:szCs w:val="24"/>
        </w:rPr>
        <w:t xml:space="preserve">The findings reported in Chikhaoui, Mamgain et al. (unpublished) are based on Nanopore long-read RNA-seq data. As part of the peer review process, the reviewers requested orthogonal validation using an independent dataset generated with a different sequencing technology. The goal of Project 2 is to reproduce the WT CT20 vs PerDKO CT20 alternative splicing comparison using publicly available Illumina short-read RNA-seq data, and to assess whether the splicing events identified from Nanopore data are also detectable in the Illumina dataset. If the two technologies converge on the same events, that strengthens the case that the findings reflect real biology rather than technical artifacts of Nanopore sequencing.</w:t>
      </w:r>
    </w:p>
    <w:p>
      <w:pPr>
        <w:spacing w:after="200"/>
        <w:jc w:val="both"/>
      </w:pPr>
      <w:r>
        <w:rPr>
          <w:rFonts w:ascii="Arial" w:cs="Arial" w:eastAsia="Arial" w:hAnsi="Arial"/>
          <w:sz w:val="24"/>
          <w:szCs w:val="24"/>
        </w:rPr>
        <w:t xml:space="preserve">This is the main project of the internship. It builds on everything established in Project 1 (the SUPPA2 pipeline, the reference annotation, the PSI metric) and applies it to a new data source, with several additional computational steps that were not required in Project 1.</w:t>
      </w:r>
    </w:p>
    <w:p>
      <w:pPr>
        <w:pStyle w:val="Heading2"/>
      </w:pPr>
      <w:r>
        <w:rPr>
          <w:rFonts w:ascii="Arial" w:cs="Arial" w:eastAsia="Arial" w:hAnsi="Arial"/>
          <w:b/>
          <w:bCs/>
          <w:color w:val="2E75B6"/>
          <w:sz w:val="24"/>
          <w:szCs w:val="24"/>
        </w:rPr>
        <w:t xml:space="preserve">6.2 Data</w:t>
      </w:r>
    </w:p>
    <w:p>
      <w:pPr>
        <w:spacing w:after="200"/>
        <w:jc w:val="both"/>
      </w:pPr>
      <w:r>
        <w:rPr>
          <w:rFonts w:ascii="Arial" w:cs="Arial" w:eastAsia="Arial" w:hAnsi="Arial"/>
          <w:sz w:val="24"/>
          <w:szCs w:val="24"/>
        </w:rPr>
        <w:t xml:space="preserve">The public dataset used is GSE171975 (Aviram et al., 2021), deposited on NCBI GEO by the Asher lab. It contains Illumina short-read RNA-seq data from mouse liver tissue at circadian time CT20, covering both wild-type (WT) and </w:t>
      </w:r>
      <w:r>
        <w:rPr>
          <w:rFonts w:ascii="Arial" w:cs="Arial" w:eastAsia="Arial" w:hAnsi="Arial"/>
          <w:i/>
          <w:iCs/>
          <w:sz w:val="24"/>
          <w:szCs w:val="24"/>
        </w:rPr>
        <w:t xml:space="preserve">Per1/Per2</w:t>
      </w:r>
      <w:r>
        <w:rPr>
          <w:rFonts w:ascii="Arial" w:cs="Arial" w:eastAsia="Arial" w:hAnsi="Arial"/>
          <w:sz w:val="24"/>
          <w:szCs w:val="24"/>
        </w:rPr>
        <w:t xml:space="preserve"> double knockout (PerDKO) conditions. The samples selected for this project are: four WT CT20 replicates (GSM5239178, GSM5239179, GSM5239180, GSM5239181) and three PerDKO CT20 replicates (GSM5239226, GSM5239227, GSM5239228). This gives a 4 vs 3 design, which is asymmetric but acceptable given that the WT group has higher variability and benefits from an extra replicate.</w:t>
      </w:r>
    </w:p>
    <w:p>
      <w:pPr>
        <w:spacing w:after="200"/>
        <w:jc w:val="both"/>
      </w:pPr>
      <w:r>
        <w:rPr>
          <w:rFonts w:ascii="Arial" w:cs="Arial" w:eastAsia="Arial" w:hAnsi="Arial"/>
          <w:sz w:val="24"/>
          <w:szCs w:val="24"/>
        </w:rPr>
        <w:t xml:space="preserve">An important detail is that these reads will not be aligned to the standard mouse reference genome. Instead, they will be quantified against the laboratory's custom transcriptome (the same GTF used in Project 1, derived from Nanopore data and containing 155,263 transcripts). This is intentional: the goal is to assess whether the same isoforms detected by Nanopore, including novel ones not present in standard annotations, are also expressed in the Illumina data. Using a standard reference would miss those novel transcripts entirely.</w:t>
      </w:r>
    </w:p>
    <w:p>
      <w:pPr>
        <w:pStyle w:val="Heading2"/>
      </w:pPr>
      <w:r>
        <w:rPr>
          <w:rFonts w:ascii="Arial" w:cs="Arial" w:eastAsia="Arial" w:hAnsi="Arial"/>
          <w:b/>
          <w:bCs/>
          <w:color w:val="2E75B6"/>
          <w:sz w:val="24"/>
          <w:szCs w:val="24"/>
        </w:rPr>
        <w:t xml:space="preserve">6.3 Pipeline</w:t>
      </w:r>
    </w:p>
    <w:p>
      <w:pPr>
        <w:spacing w:after="200"/>
        <w:jc w:val="both"/>
      </w:pPr>
      <w:r>
        <w:rPr>
          <w:rFonts w:ascii="Arial" w:cs="Arial" w:eastAsia="Arial" w:hAnsi="Arial"/>
          <w:sz w:val="24"/>
          <w:szCs w:val="24"/>
        </w:rPr>
        <w:t xml:space="preserve">The pipeline for Project 2 is more complex than Project 1. It involves several steps that require different tools and careful handling of data formats at each transition. The full chain is as follows:</w:t>
      </w:r>
    </w:p>
    <w:p>
      <w:pPr>
        <w:spacing w:after="200"/>
        <w:jc w:val="both"/>
      </w:pPr>
      <w:r>
        <w:rPr>
          <w:rFonts w:ascii="Arial" w:cs="Arial" w:eastAsia="Arial" w:hAnsi="Arial"/>
          <w:b/>
          <w:bCs/>
          <w:sz w:val="24"/>
          <w:szCs w:val="24"/>
        </w:rPr>
        <w:t xml:space="preserve">Step 1: Data download.</w:t>
      </w:r>
      <w:r>
        <w:rPr>
          <w:rFonts w:ascii="Arial" w:cs="Arial" w:eastAsia="Arial" w:hAnsi="Arial"/>
          <w:sz w:val="24"/>
          <w:szCs w:val="24"/>
        </w:rPr>
        <w:t xml:space="preserve"> Raw FASTQ files for all 7 samples are downloaded from NCBI SRA using a Bash script (get_sra_dump_fastq_run_salmon.sh) provided by Dr. Bharath Ananthasubramaniam as a starting point. The script handles SRA prefetch and FASTQ extraction automatically.</w:t>
      </w:r>
    </w:p>
    <w:p>
      <w:pPr>
        <w:spacing w:after="200"/>
        <w:jc w:val="both"/>
      </w:pPr>
      <w:r>
        <w:rPr>
          <w:rFonts w:ascii="Arial" w:cs="Arial" w:eastAsia="Arial" w:hAnsi="Arial"/>
          <w:b/>
          <w:bCs/>
          <w:sz w:val="24"/>
          <w:szCs w:val="24"/>
        </w:rPr>
        <w:t xml:space="preserve">Step 2: Transcript quantification.</w:t>
      </w:r>
      <w:r>
        <w:rPr>
          <w:rFonts w:ascii="Arial" w:cs="Arial" w:eastAsia="Arial" w:hAnsi="Arial"/>
          <w:sz w:val="24"/>
          <w:szCs w:val="24"/>
        </w:rPr>
        <w:t xml:space="preserve"> Salmon is run on each FASTQ file against the lab's custom transcriptome to produce per-sample quantification files (.sf files), which contain TPM and estimated count values for each transcript.</w:t>
      </w:r>
    </w:p>
    <w:p>
      <w:pPr>
        <w:spacing w:after="200"/>
        <w:jc w:val="both"/>
      </w:pPr>
      <w:r>
        <w:rPr>
          <w:rFonts w:ascii="Arial" w:cs="Arial" w:eastAsia="Arial" w:hAnsi="Arial"/>
          <w:b/>
          <w:bCs/>
          <w:sz w:val="24"/>
          <w:szCs w:val="24"/>
        </w:rPr>
        <w:t xml:space="preserve">Step 3: Import and normalization.</w:t>
      </w:r>
      <w:r>
        <w:rPr>
          <w:rFonts w:ascii="Arial" w:cs="Arial" w:eastAsia="Arial" w:hAnsi="Arial"/>
          <w:sz w:val="24"/>
          <w:szCs w:val="24"/>
        </w:rPr>
        <w:t xml:space="preserve"> The Salmon outputs are imported into a DESeq2 object using the tximport R package (Love et al., 2016). DESeq2 then normalizes the count estimates across samples, accounting for differences in sequencing depth and composition.</w:t>
      </w:r>
    </w:p>
    <w:p>
      <w:pPr>
        <w:spacing w:after="200"/>
        <w:jc w:val="both"/>
      </w:pPr>
      <w:r>
        <w:rPr>
          <w:rFonts w:ascii="Arial" w:cs="Arial" w:eastAsia="Arial" w:hAnsi="Arial"/>
          <w:b/>
          <w:bCs/>
          <w:sz w:val="24"/>
          <w:szCs w:val="24"/>
        </w:rPr>
        <w:t xml:space="preserve">Step 4: Batch correction.</w:t>
      </w:r>
      <w:r>
        <w:rPr>
          <w:rFonts w:ascii="Arial" w:cs="Arial" w:eastAsia="Arial" w:hAnsi="Arial"/>
          <w:sz w:val="24"/>
          <w:szCs w:val="24"/>
        </w:rPr>
        <w:t xml:space="preserve"> Because the WT and PerDKO samples may come from different experimental batches, a batch correction step is applied using the limma package to remove technical variation that could confound the splicing comparison. The corrected, normalized expression values are the ones passed to SUPPA2, not the raw Salmon TPM files.</w:t>
      </w:r>
    </w:p>
    <w:p>
      <w:pPr>
        <w:spacing w:after="200"/>
        <w:jc w:val="both"/>
      </w:pPr>
      <w:r>
        <w:rPr>
          <w:rFonts w:ascii="Arial" w:cs="Arial" w:eastAsia="Arial" w:hAnsi="Arial"/>
          <w:b/>
          <w:bCs/>
          <w:sz w:val="24"/>
          <w:szCs w:val="24"/>
        </w:rPr>
        <w:t xml:space="preserve">Step 5: PSI computation.</w:t>
      </w:r>
      <w:r>
        <w:rPr>
          <w:rFonts w:ascii="Arial" w:cs="Arial" w:eastAsia="Arial" w:hAnsi="Arial"/>
          <w:sz w:val="24"/>
          <w:szCs w:val="24"/>
        </w:rPr>
        <w:t xml:space="preserve"> SUPPA2 psiPerEvent is run on the batch-corrected expression matrix to compute PSI values for all alternative splicing events in the reference annotation, for each sample.</w:t>
      </w:r>
    </w:p>
    <w:p>
      <w:pPr>
        <w:spacing w:after="200"/>
        <w:jc w:val="both"/>
      </w:pPr>
      <w:r>
        <w:rPr>
          <w:rFonts w:ascii="Arial" w:cs="Arial" w:eastAsia="Arial" w:hAnsi="Arial"/>
          <w:b/>
          <w:bCs/>
          <w:sz w:val="24"/>
          <w:szCs w:val="24"/>
        </w:rPr>
        <w:t xml:space="preserve">Step 6: Differential splicing.</w:t>
      </w:r>
      <w:r>
        <w:rPr>
          <w:rFonts w:ascii="Arial" w:cs="Arial" w:eastAsia="Arial" w:hAnsi="Arial"/>
          <w:sz w:val="24"/>
          <w:szCs w:val="24"/>
        </w:rPr>
        <w:t xml:space="preserve"> SUPPA2 diffSplice compares WT CT20 vs PerDKO CT20 to identify significantly differentially spliced events (|dPSI| &gt; 0.1, p-value &lt; 0.05). The output is then compared to the significant events identified from the Nanopore data in Project 1.</w:t>
      </w:r>
    </w:p>
    <w:p>
      <w:pPr>
        <w:pStyle w:val="Heading2"/>
      </w:pPr>
      <w:r>
        <w:rPr>
          <w:rFonts w:ascii="Arial" w:cs="Arial" w:eastAsia="Arial" w:hAnsi="Arial"/>
          <w:b/>
          <w:bCs/>
          <w:color w:val="2E75B6"/>
          <w:sz w:val="24"/>
          <w:szCs w:val="24"/>
        </w:rPr>
        <w:t xml:space="preserve">6.4 A note on complexity: untangling the inherited pipeline</w:t>
      </w:r>
    </w:p>
    <w:p>
      <w:pPr>
        <w:spacing w:after="200"/>
        <w:jc w:val="both"/>
      </w:pPr>
      <w:r>
        <w:rPr>
          <w:rFonts w:ascii="Arial" w:cs="Arial" w:eastAsia="Arial" w:hAnsi="Arial"/>
          <w:sz w:val="24"/>
          <w:szCs w:val="24"/>
        </w:rPr>
        <w:t xml:space="preserve">In practice, setting up this pipeline has been more complex than it might appear from the description above. The pipeline was not built from scratch for this project. It has a history: Lies Chikhaoui originally developed a version of it during her PhD (Chikhaoui, 2022), and Dr. Bharath Ananthasubramaniam later worked on a related version and provided two Bash scripts as a starting point. However, as Khushi Mamgain clarified, these two versions took different tracks at a critical step: one fed raw Salmon TPM values directly into SUPPA2, while the other used batch-corrected DESeq2-normalized values. These two inputs produce different PSI values for the same events, which is the source of discrepancies that had been observed between contributors' results.</w:t>
      </w:r>
    </w:p>
    <w:p>
      <w:pPr>
        <w:spacing w:after="200"/>
        <w:jc w:val="both"/>
      </w:pPr>
      <w:r>
        <w:rPr>
          <w:rFonts w:ascii="Arial" w:cs="Arial" w:eastAsia="Arial" w:hAnsi="Arial"/>
          <w:sz w:val="24"/>
          <w:szCs w:val="24"/>
        </w:rPr>
        <w:t xml:space="preserve">The correct approach, matching what was done in the manuscript, is the DESeq2 normalized and batch-corrected route (Step 4 above). This distinction was only clarified through a direct conversation with Khushi, and required careful reading of both sets of scripts to understand where they diverged. The task of this project is therefore not just to run a pipeline, but to understand what each prior contributor did, identify which parts are reusable, and reconstruct the correct sequence of steps independently.</w:t>
      </w:r>
    </w:p>
    <w:p>
      <w:pPr>
        <w:spacing w:after="200"/>
        <w:jc w:val="both"/>
      </w:pPr>
      <w:r>
        <w:rPr>
          <w:rFonts w:ascii="Arial" w:cs="Arial" w:eastAsia="Arial" w:hAnsi="Arial"/>
          <w:sz w:val="24"/>
          <w:szCs w:val="24"/>
        </w:rPr>
        <w:t xml:space="preserve">This comes with a practical challenge: unlike Project 1, where Khushi provided pre-computed Salmon TPM files as input, Project 2 requires running the full pipeline from scratch, including the download, quantification, normalization, and batch correction steps that were previously handled by others. Khushi is currently occupied with writing her thesis, and Dr. Ananthasubramaniam is based in Berlin and has limited availability. The project will therefore be carried out largely independently, relying on the existing scripts, the scientific literature, and the knowledge built during Project 1.</w:t>
      </w:r>
    </w:p>
    <w:p>
      <w:pPr>
        <w:pStyle w:val="Heading2"/>
      </w:pPr>
      <w:r>
        <w:rPr>
          <w:rFonts w:ascii="Arial" w:cs="Arial" w:eastAsia="Arial" w:hAnsi="Arial"/>
          <w:b/>
          <w:bCs/>
          <w:color w:val="2E75B6"/>
          <w:sz w:val="24"/>
          <w:szCs w:val="24"/>
        </w:rPr>
        <w:t xml:space="preserve">6.5 Current status and plan for July-August</w:t>
      </w:r>
    </w:p>
    <w:p>
      <w:pPr>
        <w:pStyle w:val="Heading3"/>
      </w:pPr>
      <w:r>
        <w:rPr>
          <w:rFonts w:ascii="Arial" w:cs="Arial" w:eastAsia="Arial" w:hAnsi="Arial"/>
          <w:b/>
          <w:bCs/>
          <w:color w:val="555555"/>
          <w:sz w:val="24"/>
          <w:szCs w:val="24"/>
        </w:rPr>
        <w:t xml:space="preserve">6.5.1 What has been done so far</w:t>
      </w:r>
    </w:p>
    <w:p>
      <w:pPr>
        <w:spacing w:after="200"/>
        <w:jc w:val="both"/>
      </w:pPr>
      <w:r>
        <w:rPr>
          <w:rFonts w:ascii="Arial" w:cs="Arial" w:eastAsia="Arial" w:hAnsi="Arial"/>
          <w:sz w:val="24"/>
          <w:szCs w:val="24"/>
        </w:rPr>
        <w:t xml:space="preserve">At the time of writing this report, the preparatory work for Project 2 is underway. The two Bash scripts provided by Dr. Ananthasubramaniam have been read and understood. The GEO accession and sample identifiers have been confirmed. The pipeline steps have been mapped out and the correct input format for SUPPA2 (batch-corrected DESeq2 values, not raw TPM) has been established following Khushi's clarification. A dedicated folder structure for Project 2 has been created in the repository (Orthogonal validation/).</w:t>
      </w:r>
    </w:p>
    <w:p>
      <w:pPr>
        <w:pStyle w:val="Heading3"/>
      </w:pPr>
      <w:r>
        <w:rPr>
          <w:rFonts w:ascii="Arial" w:cs="Arial" w:eastAsia="Arial" w:hAnsi="Arial"/>
          <w:b/>
          <w:bCs/>
          <w:color w:val="555555"/>
          <w:sz w:val="24"/>
          <w:szCs w:val="24"/>
        </w:rPr>
        <w:t xml:space="preserve">6.5.2 Plan for July-August</w:t>
      </w:r>
    </w:p>
    <w:p>
      <w:pPr>
        <w:spacing w:after="200"/>
        <w:jc w:val="both"/>
      </w:pPr>
      <w:r>
        <w:rPr>
          <w:rFonts w:ascii="Arial" w:cs="Arial" w:eastAsia="Arial" w:hAnsi="Arial"/>
          <w:sz w:val="24"/>
          <w:szCs w:val="24"/>
        </w:rPr>
        <w:t xml:space="preserve">The remaining work for Project 2 will be carried out during July and August. The planned sequence is: (1) download all 7 FASTQ files from SRA; (2) run Salmon quantification against the lab's custom transcriptome; (3) run tximport and DESeq2 normalization; (4) apply batch correction with limma; (5) run SUPPA2 psiPerEvent and diffSplice on the corrected expression matrix; (6) compare the resulting significant events to those from Project 1 and assess overlap with the Nanopore findings.</w:t>
      </w:r>
    </w:p>
    <w:p>
      <w:pPr>
        <w:spacing w:after="200"/>
        <w:jc w:val="both"/>
      </w:pPr>
      <w:r>
        <w:rPr>
          <w:rFonts w:ascii="Arial" w:cs="Arial" w:eastAsia="Arial" w:hAnsi="Arial"/>
          <w:sz w:val="24"/>
          <w:szCs w:val="24"/>
        </w:rPr>
        <w:t xml:space="preserve">The expected output is a set of figures showing the overlap between Nanopore-detected and Illumina-detected differentially spliced events, which will serve as the orthogonal validation requested by the manuscript reviewers. These figures will be produced using the same Python analysis framework established in Project 1 and will follow the same visual conventions for consistency.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right"/>
    </w:pP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666666"/>
        <w:sz w:val="18"/>
        <w:szCs w:val="18"/>
      </w:rPr>
      <w:t xml:space="preserve">Internship Report  |  Gricey Rangel Trejo  |  IGFL / ENS Lyon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75B6"/>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2026-06-09T09:36:14.797Z</dcterms:created>
  <dcterms:modified xsi:type="dcterms:W3CDTF">2026-06-09T09:36:14.814Z</dcterms:modified>
</cp:coreProperties>
</file>

<file path=docProps/custom.xml><?xml version="1.0" encoding="utf-8"?>
<Properties xmlns="http://schemas.openxmlformats.org/officeDocument/2006/custom-properties" xmlns:vt="http://schemas.openxmlformats.org/officeDocument/2006/docPropsVTypes"/>
</file>