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CBD" w:rsidRDefault="00000000">
      <w:pPr>
        <w:pStyle w:val="Heading1"/>
        <w:rPr>
          <w:rFonts w:ascii="Arial" w:eastAsia="Calibri" w:hAnsi="Arial" w:cs="Arial"/>
          <w:b/>
          <w:bCs/>
          <w:color w:val="000000" w:themeColor="text1"/>
        </w:rPr>
      </w:pPr>
      <w:r w:rsidRPr="00F7768D">
        <w:rPr>
          <w:rFonts w:ascii="Arial" w:eastAsia="Calibri" w:hAnsi="Arial" w:cs="Arial"/>
          <w:b/>
          <w:bCs/>
          <w:color w:val="000000" w:themeColor="text1"/>
        </w:rPr>
        <w:t>Orthogonal Validation — Public Datasets Evaluated</w:t>
      </w:r>
    </w:p>
    <w:p w:rsidR="00F7768D" w:rsidRPr="00F7768D" w:rsidRDefault="00F7768D">
      <w:pPr>
        <w:pStyle w:val="Heading1"/>
        <w:rPr>
          <w:rFonts w:ascii="Arial" w:hAnsi="Arial" w:cs="Arial"/>
          <w:color w:val="000000" w:themeColor="text1"/>
          <w:sz w:val="10"/>
          <w:szCs w:val="10"/>
        </w:rPr>
      </w:pPr>
    </w:p>
    <w:p w:rsidR="00F7768D" w:rsidRDefault="00000000" w:rsidP="00F7768D">
      <w:pPr>
        <w:rPr>
          <w:rFonts w:ascii="Arial" w:eastAsia="Calibri" w:hAnsi="Arial" w:cs="Arial"/>
          <w:i/>
          <w:iCs/>
          <w:color w:val="000000" w:themeColor="text1"/>
        </w:rPr>
      </w:pPr>
      <w:r w:rsidRPr="00F7768D">
        <w:rPr>
          <w:rFonts w:ascii="Arial" w:eastAsia="Calibri" w:hAnsi="Arial" w:cs="Arial"/>
          <w:i/>
          <w:iCs/>
          <w:color w:val="000000" w:themeColor="text1"/>
        </w:rPr>
        <w:t xml:space="preserve">Public RNA-seq datasets considered as orthogonal (Illumina short-read) validation for the lab’s Nanopore long-read circadian splicing/expression manuscript. </w:t>
      </w:r>
    </w:p>
    <w:p w:rsidR="00696CBD" w:rsidRDefault="00000000" w:rsidP="00F7768D">
      <w:pPr>
        <w:rPr>
          <w:rFonts w:ascii="Arial" w:eastAsia="Calibri" w:hAnsi="Arial" w:cs="Arial"/>
          <w:i/>
          <w:iCs/>
          <w:color w:val="000000" w:themeColor="text1"/>
        </w:rPr>
      </w:pPr>
      <w:r w:rsidRPr="00F7768D">
        <w:rPr>
          <w:rFonts w:ascii="Arial" w:eastAsia="Calibri" w:hAnsi="Arial" w:cs="Arial"/>
          <w:i/>
          <w:iCs/>
          <w:color w:val="000000" w:themeColor="text1"/>
        </w:rPr>
        <w:t>Four datasets were evaluated in sequence; two were used (one with caveats), two were dropped for structural/statistical reasons.</w:t>
      </w:r>
    </w:p>
    <w:p w:rsidR="00F7768D" w:rsidRPr="00F7768D" w:rsidRDefault="00F7768D" w:rsidP="00F7768D">
      <w:pPr>
        <w:rPr>
          <w:rFonts w:ascii="Arial" w:eastAsia="Calibri" w:hAnsi="Arial" w:cs="Arial"/>
          <w:i/>
          <w:iCs/>
          <w:color w:val="000000" w:themeColor="text1"/>
          <w:sz w:val="11"/>
          <w:szCs w:val="11"/>
        </w:rPr>
      </w:pPr>
    </w:p>
    <w:tbl>
      <w:tblPr>
        <w:tblStyle w:val="GridTable5Dark-Accent1"/>
        <w:tblW w:w="14400" w:type="dxa"/>
        <w:tblLook w:val="04A0" w:firstRow="1" w:lastRow="0" w:firstColumn="1" w:lastColumn="0" w:noHBand="0" w:noVBand="1"/>
      </w:tblPr>
      <w:tblGrid>
        <w:gridCol w:w="1413"/>
        <w:gridCol w:w="1984"/>
        <w:gridCol w:w="2835"/>
        <w:gridCol w:w="2552"/>
        <w:gridCol w:w="2126"/>
        <w:gridCol w:w="3490"/>
      </w:tblGrid>
      <w:tr w:rsidR="00F7768D" w:rsidRPr="00F7768D" w:rsidTr="00F77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696CBD" w:rsidRPr="00F7768D" w:rsidRDefault="00000000" w:rsidP="00F7768D">
            <w:pPr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GEO Accession</w:t>
            </w:r>
          </w:p>
        </w:tc>
        <w:tc>
          <w:tcPr>
            <w:tcW w:w="1984" w:type="dxa"/>
            <w:vAlign w:val="center"/>
          </w:tcPr>
          <w:p w:rsidR="00696CBD" w:rsidRPr="00F7768D" w:rsidRDefault="00000000" w:rsidP="00F77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Organism / Tissue</w:t>
            </w:r>
          </w:p>
        </w:tc>
        <w:tc>
          <w:tcPr>
            <w:tcW w:w="2835" w:type="dxa"/>
            <w:vAlign w:val="center"/>
          </w:tcPr>
          <w:p w:rsidR="00696CBD" w:rsidRPr="00F7768D" w:rsidRDefault="00000000" w:rsidP="00F77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Biological Conditions</w:t>
            </w:r>
          </w:p>
        </w:tc>
        <w:tc>
          <w:tcPr>
            <w:tcW w:w="2552" w:type="dxa"/>
            <w:vAlign w:val="center"/>
          </w:tcPr>
          <w:p w:rsidR="00696CBD" w:rsidRPr="00F7768D" w:rsidRDefault="00000000" w:rsidP="00F77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Sequencing Type</w:t>
            </w:r>
          </w:p>
        </w:tc>
        <w:tc>
          <w:tcPr>
            <w:tcW w:w="2126" w:type="dxa"/>
            <w:vAlign w:val="center"/>
          </w:tcPr>
          <w:p w:rsidR="00696CBD" w:rsidRPr="00F7768D" w:rsidRDefault="00000000" w:rsidP="00F77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Lab / Source</w:t>
            </w:r>
          </w:p>
        </w:tc>
        <w:tc>
          <w:tcPr>
            <w:tcW w:w="3490" w:type="dxa"/>
            <w:vAlign w:val="center"/>
          </w:tcPr>
          <w:p w:rsidR="00696CBD" w:rsidRPr="00F7768D" w:rsidRDefault="00000000" w:rsidP="00F776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</w:rPr>
              <w:t>Outcome &amp; Limitation</w:t>
            </w:r>
          </w:p>
        </w:tc>
      </w:tr>
      <w:tr w:rsidR="00F7768D" w:rsidRPr="00F7768D" w:rsidTr="00F77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696CBD" w:rsidRPr="00F7768D" w:rsidRDefault="00000000" w:rsidP="00F7768D">
            <w:pPr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GSE171975</w:t>
            </w:r>
          </w:p>
        </w:tc>
        <w:tc>
          <w:tcPr>
            <w:tcW w:w="1984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Mouse (Mus musculus), liver</w:t>
            </w:r>
          </w:p>
        </w:tc>
        <w:tc>
          <w:tcPr>
            <w:tcW w:w="2835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WT vs Per1/2-DKO (“PerDKO”); constant darkness (DD) time-course, CT0–CT44 in 4h steps (relevant window: CT20)</w:t>
            </w:r>
          </w:p>
        </w:tc>
        <w:tc>
          <w:tcPr>
            <w:tcW w:w="2552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MARS-seq, 3′-end (Illumina NextSeq 550)</w:t>
            </w:r>
          </w:p>
        </w:tc>
        <w:tc>
          <w:tcPr>
            <w:tcW w:w="2126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Gad Asher lab, Weizmann Institute of Science (Aviram et al., PLOS Biology 2021)</w:t>
            </w:r>
          </w:p>
        </w:tc>
        <w:tc>
          <w:tcPr>
            <w:tcW w:w="3490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B06AE">
              <w:rPr>
                <w:rFonts w:ascii="Arial" w:eastAsia="Calibri" w:hAnsi="Arial" w:cs="Arial"/>
                <w:color w:val="FF0000"/>
                <w:sz w:val="18"/>
                <w:szCs w:val="18"/>
              </w:rPr>
              <w:t xml:space="preserve">Not used.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Abandoned before any data was downloaded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3′-end MARS-seq cannot capture the internal exon–exon junctions needed for splicing analysis. Superseded by GSE130613 (same lab, next dataset assigned).</w:t>
            </w:r>
          </w:p>
        </w:tc>
      </w:tr>
      <w:tr w:rsidR="00F7768D" w:rsidRPr="00F7768D" w:rsidTr="00F7768D">
        <w:trPr>
          <w:cantSplit/>
          <w:trHeight w:val="2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696CBD" w:rsidRPr="00F7768D" w:rsidRDefault="00000000" w:rsidP="00F7768D">
            <w:pPr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GSE130613</w:t>
            </w:r>
          </w:p>
        </w:tc>
        <w:tc>
          <w:tcPr>
            <w:tcW w:w="1984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Mouse</w:t>
            </w:r>
            <w:r w:rsidR="00F7768D"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 (Mus musculus),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 liver</w:t>
            </w:r>
          </w:p>
        </w:tc>
        <w:tc>
          <w:tcPr>
            <w:tcW w:w="2835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WT vs PerDKO, CT16–20, constant darkness (normoxia arm of a hypoxia study), n=4/group</w:t>
            </w:r>
          </w:p>
        </w:tc>
        <w:tc>
          <w:tcPr>
            <w:tcW w:w="2552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MARS-seq, 3′-end (Illumina NextSeq 500)</w:t>
            </w:r>
          </w:p>
        </w:tc>
        <w:tc>
          <w:tcPr>
            <w:tcW w:w="2126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Gad Asher lab, Weizmann Institute of Science (Manella &amp; Asher, PNAS 2020)</w:t>
            </w:r>
          </w:p>
        </w:tc>
        <w:tc>
          <w:tcPr>
            <w:tcW w:w="3490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  <w:r w:rsidRPr="00DB06AE">
              <w:rPr>
                <w:rFonts w:ascii="Arial" w:eastAsia="Calibri" w:hAnsi="Arial" w:cs="Arial"/>
                <w:color w:val="000000" w:themeColor="text1"/>
                <w:sz w:val="18"/>
                <w:szCs w:val="18"/>
                <w:highlight w:val="green"/>
              </w:rPr>
              <w:t>Used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, with caveats. DE analysis retained (STAR+htseq-count, gene-level, 390 sig. genes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matches Asher’s own processed counts and the lab’s Nanopore data) after an initial Salmon-based pipeline produced an inflated fold-change spread. Splicing/PSI results (SUPPA2, later rMATS-turbo) are unreliable and not over-interpreted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3′-end MARS-seq structurally cannot resolve most internal splice junctions.</w:t>
            </w:r>
          </w:p>
        </w:tc>
      </w:tr>
      <w:tr w:rsidR="00F7768D" w:rsidRPr="00F7768D" w:rsidTr="00F77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696CBD" w:rsidRPr="00F7768D" w:rsidRDefault="00000000" w:rsidP="00F7768D">
            <w:pPr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GSE133398</w:t>
            </w:r>
          </w:p>
        </w:tc>
        <w:tc>
          <w:tcPr>
            <w:tcW w:w="1984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Mouse, cultured primary hepatocytes (AAV-infected)</w:t>
            </w:r>
          </w:p>
        </w:tc>
        <w:tc>
          <w:tcPr>
            <w:tcW w:w="2835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SRSF3 conditional KO (AAV-Cre) vs GFP control, n=4/group</w:t>
            </w:r>
          </w:p>
        </w:tc>
        <w:tc>
          <w:tcPr>
            <w:tcW w:w="2552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Standard mRNA-seq, paired-end 150bp, TruSeq stranded (Illumina HiSeq 2500)</w:t>
            </w:r>
          </w:p>
        </w:tc>
        <w:tc>
          <w:tcPr>
            <w:tcW w:w="2126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Nick Webster lab</w:t>
            </w:r>
          </w:p>
        </w:tc>
        <w:tc>
          <w:tcPr>
            <w:tcW w:w="3490" w:type="dxa"/>
            <w:vAlign w:val="center"/>
          </w:tcPr>
          <w:p w:rsidR="00696CBD" w:rsidRPr="00F7768D" w:rsidRDefault="00000000" w:rsidP="00F77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DB06AE">
              <w:rPr>
                <w:rFonts w:ascii="Arial" w:eastAsia="Calibri" w:hAnsi="Arial" w:cs="Arial"/>
                <w:color w:val="000000" w:themeColor="text1"/>
                <w:sz w:val="18"/>
                <w:szCs w:val="18"/>
                <w:highlight w:val="green"/>
              </w:rPr>
              <w:t>Used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. Full pipeline completed (Salmon/mm39 → DESeq2 → SUPPA2). Mapping rates (24–69%) traced to AAV-induced satellite-DNA transcription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expected biology, not a QC failure. Two DE options (gene-level vs. stageR transcript-level) sent for a decision; no disqualifying limitation.</w:t>
            </w:r>
          </w:p>
        </w:tc>
      </w:tr>
      <w:tr w:rsidR="00F7768D" w:rsidRPr="00F7768D" w:rsidTr="00F7768D">
        <w:trPr>
          <w:cantSplit/>
          <w:trHeight w:val="2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696CBD" w:rsidRPr="00F7768D" w:rsidRDefault="00000000" w:rsidP="00F7768D">
            <w:pPr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E-MTAB-9701</w:t>
            </w:r>
          </w:p>
        </w:tc>
        <w:tc>
          <w:tcPr>
            <w:tcW w:w="1984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Human, HCT116 colon cancer cell line</w:t>
            </w:r>
          </w:p>
        </w:tc>
        <w:tc>
          <w:tcPr>
            <w:tcW w:w="2835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WT vs ARNTL-KO, NR1D1-KO, PER2-KO; 45h circadian time-course, 16 timepoints (9–54h)</w:t>
            </w:r>
          </w:p>
        </w:tc>
        <w:tc>
          <w:tcPr>
            <w:tcW w:w="2552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Standard mRNA-seq, paired-end 75bp, TruSeq stranded (Illumina NextSeq 500)</w:t>
            </w:r>
          </w:p>
        </w:tc>
        <w:tc>
          <w:tcPr>
            <w:tcW w:w="2126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Relógio lab, Charité Berlin</w:t>
            </w:r>
          </w:p>
        </w:tc>
        <w:tc>
          <w:tcPr>
            <w:tcW w:w="3490" w:type="dxa"/>
            <w:vAlign w:val="center"/>
          </w:tcPr>
          <w:p w:rsidR="00696CBD" w:rsidRPr="00F7768D" w:rsidRDefault="00000000" w:rsidP="00F776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DB06AE">
              <w:rPr>
                <w:rFonts w:ascii="Arial" w:eastAsia="Calibri" w:hAnsi="Arial" w:cs="Arial"/>
                <w:color w:val="FF0000"/>
                <w:sz w:val="18"/>
                <w:szCs w:val="18"/>
              </w:rPr>
              <w:t xml:space="preserve">Not used.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Requested by a manuscript reviewer as an alternative validation dataset; dropped once confirmed each genotype 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X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 timepoint has only n=1 replicate</w:t>
            </w:r>
            <w:r w:rsidR="00F7768D">
              <w:rPr>
                <w:rFonts w:ascii="Arial" w:eastAsia="Calibri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F7768D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statistically unworkable for DESeq2 (no dispersion estimate). Also wrong organism/tissue (human cell line vs. mouse liver) and single-gene KO design.</w:t>
            </w:r>
          </w:p>
        </w:tc>
      </w:tr>
    </w:tbl>
    <w:p w:rsidR="00696CBD" w:rsidRPr="00F7768D" w:rsidRDefault="00696CBD">
      <w:pPr>
        <w:rPr>
          <w:rFonts w:ascii="Arial" w:hAnsi="Arial" w:cs="Arial"/>
          <w:color w:val="000000" w:themeColor="text1"/>
        </w:rPr>
      </w:pPr>
    </w:p>
    <w:sectPr w:rsidR="00696CBD" w:rsidRPr="00F7768D" w:rsidSect="00F7768D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D3200"/>
    <w:multiLevelType w:val="hybridMultilevel"/>
    <w:tmpl w:val="C6B83950"/>
    <w:lvl w:ilvl="0" w:tplc="394A3052">
      <w:start w:val="1"/>
      <w:numFmt w:val="bullet"/>
      <w:lvlText w:val="●"/>
      <w:lvlJc w:val="left"/>
      <w:pPr>
        <w:ind w:left="720" w:hanging="360"/>
      </w:pPr>
    </w:lvl>
    <w:lvl w:ilvl="1" w:tplc="398CFF18">
      <w:start w:val="1"/>
      <w:numFmt w:val="bullet"/>
      <w:lvlText w:val="○"/>
      <w:lvlJc w:val="left"/>
      <w:pPr>
        <w:ind w:left="1440" w:hanging="360"/>
      </w:pPr>
    </w:lvl>
    <w:lvl w:ilvl="2" w:tplc="D0D6209A">
      <w:start w:val="1"/>
      <w:numFmt w:val="bullet"/>
      <w:lvlText w:val="■"/>
      <w:lvlJc w:val="left"/>
      <w:pPr>
        <w:ind w:left="2160" w:hanging="360"/>
      </w:pPr>
    </w:lvl>
    <w:lvl w:ilvl="3" w:tplc="3A4CC792">
      <w:start w:val="1"/>
      <w:numFmt w:val="bullet"/>
      <w:lvlText w:val="●"/>
      <w:lvlJc w:val="left"/>
      <w:pPr>
        <w:ind w:left="2880" w:hanging="360"/>
      </w:pPr>
    </w:lvl>
    <w:lvl w:ilvl="4" w:tplc="AA08A576">
      <w:start w:val="1"/>
      <w:numFmt w:val="bullet"/>
      <w:lvlText w:val="○"/>
      <w:lvlJc w:val="left"/>
      <w:pPr>
        <w:ind w:left="3600" w:hanging="360"/>
      </w:pPr>
    </w:lvl>
    <w:lvl w:ilvl="5" w:tplc="3F64749C">
      <w:start w:val="1"/>
      <w:numFmt w:val="bullet"/>
      <w:lvlText w:val="■"/>
      <w:lvlJc w:val="left"/>
      <w:pPr>
        <w:ind w:left="4320" w:hanging="360"/>
      </w:pPr>
    </w:lvl>
    <w:lvl w:ilvl="6" w:tplc="F586BE1A">
      <w:start w:val="1"/>
      <w:numFmt w:val="bullet"/>
      <w:lvlText w:val="●"/>
      <w:lvlJc w:val="left"/>
      <w:pPr>
        <w:ind w:left="5040" w:hanging="360"/>
      </w:pPr>
    </w:lvl>
    <w:lvl w:ilvl="7" w:tplc="7C2C1A24">
      <w:start w:val="1"/>
      <w:numFmt w:val="bullet"/>
      <w:lvlText w:val="●"/>
      <w:lvlJc w:val="left"/>
      <w:pPr>
        <w:ind w:left="5760" w:hanging="360"/>
      </w:pPr>
    </w:lvl>
    <w:lvl w:ilvl="8" w:tplc="5066B896">
      <w:start w:val="1"/>
      <w:numFmt w:val="bullet"/>
      <w:lvlText w:val="●"/>
      <w:lvlJc w:val="left"/>
      <w:pPr>
        <w:ind w:left="6480" w:hanging="360"/>
      </w:pPr>
    </w:lvl>
  </w:abstractNum>
  <w:num w:numId="1" w16cid:durableId="1171869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BD"/>
    <w:rsid w:val="0000336B"/>
    <w:rsid w:val="00696CBD"/>
    <w:rsid w:val="00946DE4"/>
    <w:rsid w:val="00DB06AE"/>
    <w:rsid w:val="00F7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B2E039"/>
  <w15:docId w15:val="{58F3EE7C-A5EE-1F4E-9EDC-51EFFB4E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77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77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Gricey</cp:lastModifiedBy>
  <cp:revision>4</cp:revision>
  <dcterms:created xsi:type="dcterms:W3CDTF">2026-07-21T10:09:00Z</dcterms:created>
  <dcterms:modified xsi:type="dcterms:W3CDTF">2026-07-21T10:22:00Z</dcterms:modified>
</cp:coreProperties>
</file>