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val="0"/>
          <w:i w:val="0"/>
          <w:color w:val="555555"/>
          <w:sz w:val="18"/>
        </w:rPr>
        <w:t>MERIDIAN TECHNOLOGIES</w:t>
      </w:r>
    </w:p>
    <w:p>
      <w:pPr>
        <w:spacing w:before="0" w:after="20"/>
        <w:jc w:val="center"/>
      </w:pPr>
      <w:r>
        <w:rPr>
          <w:b w:val="0"/>
          <w:i w:val="0"/>
          <w:color w:val="555555"/>
          <w:sz w:val="18"/>
        </w:rPr>
        <w:t>Board Strategic Review — Anticipated Counter-Questions</w:t>
      </w:r>
    </w:p>
    <w:p>
      <w:pPr>
        <w:spacing w:before="0" w:after="120"/>
        <w:jc w:val="center"/>
      </w:pPr>
      <w:r>
        <w:rPr>
          <w:b w:val="0"/>
          <w:i w:val="0"/>
          <w:color w:val="555555"/>
          <w:sz w:val="18"/>
        </w:rPr>
        <w:t>Prepared for CEO Catherine Park  |  Confidential</w:t>
      </w:r>
    </w:p>
    <w:p>
      <w:pPr>
        <w:spacing w:before="80" w:after="80"/>
        <w:pBdr>
          <w:bottom w:val="single" w:sz="4" w:space="1" w:color="BBBBBB"/>
        </w:pBdr>
      </w:pPr>
    </w:p>
    <w:p>
      <w:pPr>
        <w:spacing w:before="160" w:after="160"/>
        <w:jc w:val="left"/>
      </w:pPr>
      <w:r>
        <w:rPr>
          <w:b w:val="0"/>
          <w:i/>
          <w:color w:val="555555"/>
          <w:sz w:val="20"/>
        </w:rPr>
        <w:t>The ask — advance Copilot consumption pricing to a Q1 2026 strategic priority — will draw resistance from three directions. The script below gives you the likely exact objection, the frame behind it, and a disciplined response.</w:t>
      </w:r>
    </w:p>
    <w:p>
      <w:pPr>
        <w:spacing w:before="80" w:after="80"/>
        <w:pBdr>
          <w:bottom w:val="single" w:sz="4" w:space="1" w:color="BBBBBB"/>
        </w:pBdr>
      </w:pPr>
    </w:p>
    <w:p>
      <w:pPr>
        <w:spacing w:before="200" w:after="40"/>
        <w:jc w:val="left"/>
      </w:pPr>
      <w:r>
        <w:rPr>
          <w:b/>
          <w:i w:val="0"/>
          <w:color w:val="1A5276"/>
          <w:sz w:val="20"/>
        </w:rPr>
        <w:t>QUESTION 1</w:t>
      </w:r>
    </w:p>
    <w:p>
      <w:pPr>
        <w:spacing w:before="40" w:after="120"/>
        <w:jc w:val="left"/>
      </w:pPr>
      <w:r>
        <w:rPr>
          <w:b/>
          <w:i/>
          <w:color w:val="C0392B"/>
          <w:sz w:val="23"/>
        </w:rPr>
        <w:t>"The per-seat model is working. You hit 44% attach, you beat your own seat target, and enterprise NRR is 125%. Why complicate a working model mid-flight?"</w:t>
      </w:r>
    </w:p>
    <w:p>
      <w:pPr>
        <w:spacing w:before="120" w:after="40"/>
      </w:pPr>
      <w:r>
        <w:rPr>
          <w:b/>
          <w:color w:val="1A5276"/>
          <w:sz w:val="18"/>
        </w:rPr>
        <w:t>WHY THIS QUESTION GETS ASKED</w:t>
      </w:r>
    </w:p>
    <w:p>
      <w:pPr>
        <w:spacing w:before="40" w:after="120"/>
        <w:jc w:val="left"/>
      </w:pPr>
      <w:r>
        <w:rPr>
          <w:b w:val="0"/>
          <w:i w:val="0"/>
          <w:color w:val="555555"/>
          <w:sz w:val="20"/>
        </w:rPr>
        <w:t>This is a legitimate defense of the status quo from a director who reads the Q4 numbers as a green light. The subtext is: you're new, the metrics are improving, don't break something that's working.</w:t>
      </w:r>
    </w:p>
    <w:p>
      <w:pPr>
        <w:spacing w:before="120" w:after="40"/>
      </w:pPr>
      <w:r>
        <w:rPr>
          <w:b/>
          <w:color w:val="1E8449"/>
          <w:sz w:val="18"/>
        </w:rPr>
        <w:t>YOUR RESPONSE</w:t>
      </w:r>
    </w:p>
    <w:p>
      <w:pPr>
        <w:spacing w:before="40" w:after="40"/>
        <w:ind w:left="360"/>
      </w:pPr>
      <w:r>
        <w:rPr>
          <w:b/>
          <w:color w:val="1E8449"/>
          <w:sz w:val="21"/>
        </w:rPr>
        <w:t xml:space="preserve">Acknowledge:  </w:t>
      </w:r>
      <w:r>
        <w:rPr>
          <w:color w:val="1A1A1A"/>
          <w:sz w:val="21"/>
        </w:rPr>
        <w:t>You're right that the early signals are better than we feared. 44% attach and 710 seats ahead of target is a real proof point, and I don't want to understate it.</w:t>
      </w:r>
    </w:p>
    <w:p>
      <w:pPr>
        <w:spacing w:before="40" w:after="40"/>
        <w:ind w:left="360"/>
      </w:pPr>
      <w:r>
        <w:rPr>
          <w:b/>
          <w:color w:val="1E8449"/>
          <w:sz w:val="21"/>
        </w:rPr>
        <w:t xml:space="preserve">Reframe:  </w:t>
      </w:r>
      <w:r>
        <w:rPr>
          <w:color w:val="1A1A1A"/>
          <w:sz w:val="21"/>
        </w:rPr>
        <w:t>The question isn't whether per-seat is working now — it's whether per-seat can get us to the growth rate we need. The math says it can't. Our enterprise seat TAM is roughly 70,000 seats. At $40 per seat that's a $34M ARR ceiling — even at 100% penetration. We need $29M of Copilot ARR just to hit 15% growth in 2026. Per-seat pricing structurally cannot close that gap.</w:t>
      </w:r>
    </w:p>
    <w:p>
      <w:pPr>
        <w:spacing w:before="40" w:after="40"/>
        <w:ind w:left="360"/>
      </w:pPr>
      <w:r>
        <w:rPr>
          <w:b/>
          <w:color w:val="1E8449"/>
          <w:sz w:val="21"/>
        </w:rPr>
        <w:t xml:space="preserve">Evidence:  </w:t>
      </w:r>
      <w:r>
        <w:rPr>
          <w:color w:val="1A1A1A"/>
          <w:sz w:val="21"/>
        </w:rPr>
        <w:t>Every AI-native SaaS company that has tried to monetise agentic usage on per-seat pricing has eventually moved to consumption. Salesforce Agentforce, Microsoft Copilot 365, ServiceNow Now Assist — all consumption or hybrid. The question is not if we move, it is whether we move before or after our competitors force our hand.</w:t>
      </w:r>
    </w:p>
    <w:p>
      <w:pPr>
        <w:spacing w:before="40" w:after="40"/>
        <w:ind w:left="360"/>
      </w:pPr>
      <w:r>
        <w:rPr>
          <w:b/>
          <w:color w:val="1E8449"/>
          <w:sz w:val="21"/>
        </w:rPr>
        <w:t xml:space="preserve">Close:  </w:t>
      </w:r>
      <w:r>
        <w:rPr>
          <w:color w:val="1A1A1A"/>
          <w:sz w:val="21"/>
        </w:rPr>
        <w:t>I am not asking to flip the switch today. I am asking for a board-ready proposal by March that gives us the option. We keep per-seat for customers where it works and add a consumption track for agentic usage. Optionality has value. A six-month delay has a cost.</w:t>
      </w:r>
    </w:p>
    <w:p>
      <w:pPr>
        <w:spacing w:before="80" w:after="80"/>
        <w:pBdr>
          <w:bottom w:val="single" w:sz="4" w:space="1" w:color="BBBBBB"/>
        </w:pBdr>
      </w:pPr>
    </w:p>
    <w:p>
      <w:pPr>
        <w:spacing w:before="200" w:after="40"/>
        <w:jc w:val="left"/>
      </w:pPr>
      <w:r>
        <w:rPr>
          <w:b/>
          <w:i w:val="0"/>
          <w:color w:val="1A5276"/>
          <w:sz w:val="20"/>
        </w:rPr>
        <w:t>QUESTION 2</w:t>
      </w:r>
    </w:p>
    <w:p>
      <w:pPr>
        <w:spacing w:before="40" w:after="120"/>
        <w:jc w:val="left"/>
      </w:pPr>
      <w:r>
        <w:rPr>
          <w:b/>
          <w:i/>
          <w:color w:val="C0392B"/>
          <w:sz w:val="23"/>
        </w:rPr>
        <w:t>"Six of your twelve roadmap items slipped last year. Your own CPO says engineering net adds will be 25, not 80. You're already behind — why are you adding a pricing model overhaul to an overstretched team?"</w:t>
      </w:r>
    </w:p>
    <w:p>
      <w:pPr>
        <w:spacing w:before="120" w:after="40"/>
      </w:pPr>
      <w:r>
        <w:rPr>
          <w:b/>
          <w:color w:val="1A5276"/>
          <w:sz w:val="18"/>
        </w:rPr>
        <w:t>WHY THIS QUESTION GETS ASKED</w:t>
      </w:r>
    </w:p>
    <w:p>
      <w:pPr>
        <w:spacing w:before="40" w:after="120"/>
        <w:jc w:val="left"/>
      </w:pPr>
      <w:r>
        <w:rPr>
          <w:b w:val="0"/>
          <w:i w:val="0"/>
          <w:color w:val="555555"/>
          <w:sz w:val="20"/>
        </w:rPr>
        <w:t>This is the execution-risk pushback. The director has read the product roadmap memo carefully. The subtext: you're asking us to trust a team that has a documented slip problem with something even harder.</w:t>
      </w:r>
    </w:p>
    <w:p>
      <w:pPr>
        <w:spacing w:before="120" w:after="40"/>
      </w:pPr>
      <w:r>
        <w:rPr>
          <w:b/>
          <w:color w:val="1E8449"/>
          <w:sz w:val="18"/>
        </w:rPr>
        <w:t>YOUR RESPONSE</w:t>
      </w:r>
    </w:p>
    <w:p>
      <w:pPr>
        <w:spacing w:before="40" w:after="40"/>
        <w:ind w:left="360"/>
      </w:pPr>
      <w:r>
        <w:rPr>
          <w:b/>
          <w:color w:val="1E8449"/>
          <w:sz w:val="21"/>
        </w:rPr>
        <w:t xml:space="preserve">Acknowledge:  </w:t>
      </w:r>
      <w:r>
        <w:rPr>
          <w:color w:val="1A1A1A"/>
          <w:sz w:val="21"/>
        </w:rPr>
        <w:t>The slip rate is real, and I own it. Six of twelve items missing by at least a quarter is not acceptable as a steady state. I have been direct about that with the CPO.</w:t>
      </w:r>
    </w:p>
    <w:p>
      <w:pPr>
        <w:spacing w:before="40" w:after="40"/>
        <w:ind w:left="360"/>
      </w:pPr>
      <w:r>
        <w:rPr>
          <w:b/>
          <w:color w:val="1E8449"/>
          <w:sz w:val="21"/>
        </w:rPr>
        <w:t xml:space="preserve">Reframe:  </w:t>
      </w:r>
      <w:r>
        <w:rPr>
          <w:color w:val="1A1A1A"/>
          <w:sz w:val="21"/>
        </w:rPr>
        <w:t>A pricing model change is not an engineering project — it is a go-to-market and finance design project. The work I am asking CFO, CRO, and CPO to do by March is a proposal: what does the model look like, what does implementation require, and what is the revenue forecast under different scenarios. That is six weeks of executive alignment work, not six months of engineering.</w:t>
      </w:r>
    </w:p>
    <w:p>
      <w:pPr>
        <w:spacing w:before="40" w:after="40"/>
        <w:ind w:left="360"/>
      </w:pPr>
      <w:r>
        <w:rPr>
          <w:b/>
          <w:color w:val="1E8449"/>
          <w:sz w:val="21"/>
        </w:rPr>
        <w:t xml:space="preserve">Evidence:  </w:t>
      </w:r>
      <w:r>
        <w:rPr>
          <w:color w:val="1A1A1A"/>
          <w:sz w:val="21"/>
        </w:rPr>
        <w:t>The roadmap memo explicitly flags that the consumption pricing decision should be jointly owned by CFO and CRO — it is not a product decision. I am following that recommendation. The engineering lift, if we decide to proceed, comes later and gets scoped in the March proposal.</w:t>
      </w:r>
    </w:p>
    <w:p>
      <w:pPr>
        <w:spacing w:before="40" w:after="40"/>
        <w:ind w:left="360"/>
      </w:pPr>
      <w:r>
        <w:rPr>
          <w:b/>
          <w:color w:val="1E8449"/>
          <w:sz w:val="21"/>
        </w:rPr>
        <w:t xml:space="preserve">Close:  </w:t>
      </w:r>
      <w:r>
        <w:rPr>
          <w:color w:val="1A1A1A"/>
          <w:sz w:val="21"/>
        </w:rPr>
        <w:t>I hear the concern. If the March proposal comes back and says the implementation risk is too high given current capacity, we will say so and the board will decide. What I don't want is to arrive at Investor Day on March 11th without having done that analysis. The cost of the analysis is low. The cost of not having it is high.</w:t>
      </w:r>
    </w:p>
    <w:p>
      <w:pPr>
        <w:spacing w:before="80" w:after="80"/>
        <w:pBdr>
          <w:bottom w:val="single" w:sz="4" w:space="1" w:color="BBBBBB"/>
        </w:pBdr>
      </w:pPr>
    </w:p>
    <w:p>
      <w:pPr>
        <w:spacing w:before="200" w:after="40"/>
        <w:jc w:val="left"/>
      </w:pPr>
      <w:r>
        <w:rPr>
          <w:b/>
          <w:i w:val="0"/>
          <w:color w:val="1A5276"/>
          <w:sz w:val="20"/>
        </w:rPr>
        <w:t>QUESTION 3</w:t>
      </w:r>
    </w:p>
    <w:p>
      <w:pPr>
        <w:spacing w:before="40" w:after="120"/>
        <w:jc w:val="left"/>
      </w:pPr>
      <w:r>
        <w:rPr>
          <w:b/>
          <w:i/>
          <w:color w:val="C0392B"/>
          <w:sz w:val="23"/>
        </w:rPr>
        <w:t>"You've described a structural deceleration, a competitive threat from four directions, and a talent retention risk. Your one ask is to reprice an add-on product. Is that really the scale of response this situation warrants?"</w:t>
      </w:r>
    </w:p>
    <w:p>
      <w:pPr>
        <w:spacing w:before="120" w:after="40"/>
      </w:pPr>
      <w:r>
        <w:rPr>
          <w:b/>
          <w:color w:val="1A5276"/>
          <w:sz w:val="18"/>
        </w:rPr>
        <w:t>WHY THIS QUESTION GETS ASKED</w:t>
      </w:r>
    </w:p>
    <w:p>
      <w:pPr>
        <w:spacing w:before="40" w:after="120"/>
        <w:jc w:val="left"/>
      </w:pPr>
      <w:r>
        <w:rPr>
          <w:b w:val="0"/>
          <w:i w:val="0"/>
          <w:color w:val="555555"/>
          <w:sz w:val="20"/>
        </w:rPr>
        <w:t>This is the hardest question. It comes from the most engaged director — someone who understood everything you just said and is worried you are underreacting. The subtext: should we be talking about a transformative acquisition, a take-private, or a fundamental strategic pivot?</w:t>
      </w:r>
    </w:p>
    <w:p>
      <w:pPr>
        <w:spacing w:before="120" w:after="40"/>
      </w:pPr>
      <w:r>
        <w:rPr>
          <w:b/>
          <w:color w:val="1E8449"/>
          <w:sz w:val="18"/>
        </w:rPr>
        <w:t>YOUR RESPONSE</w:t>
      </w:r>
    </w:p>
    <w:p>
      <w:pPr>
        <w:spacing w:before="40" w:after="40"/>
        <w:ind w:left="360"/>
      </w:pPr>
      <w:r>
        <w:rPr>
          <w:b/>
          <w:color w:val="1E8449"/>
          <w:sz w:val="21"/>
        </w:rPr>
        <w:t xml:space="preserve">Acknowledge:  </w:t>
      </w:r>
      <w:r>
        <w:rPr>
          <w:color w:val="1A1A1A"/>
          <w:sz w:val="21"/>
        </w:rPr>
        <w:t>That question is exactly right, and I want to sit with it for a moment rather than deflect. The situation does warrant a response at scale. I agree.</w:t>
      </w:r>
    </w:p>
    <w:p>
      <w:pPr>
        <w:spacing w:before="40" w:after="40"/>
        <w:ind w:left="360"/>
      </w:pPr>
      <w:r>
        <w:rPr>
          <w:b/>
          <w:color w:val="1E8449"/>
          <w:sz w:val="21"/>
        </w:rPr>
        <w:t xml:space="preserve">Reframe:  </w:t>
      </w:r>
      <w:r>
        <w:rPr>
          <w:color w:val="1A1A1A"/>
          <w:sz w:val="21"/>
        </w:rPr>
        <w:t>The reason I am bringing one specific ask today — rather than a full strategic plan — is that I promised you a rigorous plan, not a fast one. The board authorised me to deliver that plan by Q1 2026 and I will. What I am doing today is identifying the single decision that has the highest time-sensitivity: consumption pricing is a Q3 roadmap item that needs executive alignment starting now if it is going to be ready for Investor Day. Everything else — M&amp;A targets, the mid-market defence, the EMEA investment decision — is in the plan.</w:t>
      </w:r>
    </w:p>
    <w:p>
      <w:pPr>
        <w:spacing w:before="40" w:after="40"/>
        <w:ind w:left="360"/>
      </w:pPr>
      <w:r>
        <w:rPr>
          <w:b/>
          <w:color w:val="1E8449"/>
          <w:sz w:val="21"/>
        </w:rPr>
        <w:t xml:space="preserve">Evidence:  </w:t>
      </w:r>
      <w:r>
        <w:rPr>
          <w:color w:val="1A1A1A"/>
          <w:sz w:val="21"/>
        </w:rPr>
        <w:t>I have two acquisition targets in early diligence. I have a working view on mid-market. I have a position on EMEA. I am not bringing those today because they are not ready for a board decision and I will not waste your time with incomplete analysis. Consumption pricing is the one item that is ready — and where a six-week delay has a direct cost.</w:t>
      </w:r>
    </w:p>
    <w:p>
      <w:pPr>
        <w:spacing w:before="40" w:after="40"/>
        <w:ind w:left="360"/>
      </w:pPr>
      <w:r>
        <w:rPr>
          <w:b/>
          <w:color w:val="1E8449"/>
          <w:sz w:val="21"/>
        </w:rPr>
        <w:t xml:space="preserve">Close:  </w:t>
      </w:r>
      <w:r>
        <w:rPr>
          <w:color w:val="1A1A1A"/>
          <w:sz w:val="21"/>
        </w:rPr>
        <w:t>If your question is really: Catherine, do you understand the gravity of what you are facing? — yes. I do. The March plan will reflect that. Today I am asking for the one thing I need from this room right now, so I can walk out of here and execute.</w:t>
      </w:r>
    </w:p>
    <w:p>
      <w:pPr>
        <w:spacing w:before="80" w:after="80"/>
        <w:pBdr>
          <w:bottom w:val="single" w:sz="4" w:space="1" w:color="BBBBBB"/>
        </w:pBdr>
      </w:pPr>
    </w:p>
    <w:p>
      <w:pPr>
        <w:spacing w:before="160" w:after="80"/>
        <w:jc w:val="left"/>
      </w:pPr>
      <w:r>
        <w:rPr>
          <w:b w:val="0"/>
          <w:i/>
          <w:color w:val="555555"/>
          <w:sz w:val="17"/>
        </w:rPr>
        <w:t>Preparation note: for each question, the structure is Acknowledge → Reframe → Evidence → Close. Do not skip Acknowledge — board members who feel dismissed become adversarial. Do not linger in Acknowledge — it reads as defensive. Ten seconds, then move.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