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555555"/>
          <w:sz w:val="18"/>
        </w:rPr>
        <w:t>MERIDIAN TECHNOLOGIES</w:t>
      </w:r>
    </w:p>
    <w:p>
      <w:pPr>
        <w:spacing w:before="0" w:after="40"/>
        <w:jc w:val="center"/>
      </w:pPr>
      <w:r>
        <w:rPr>
          <w:color w:val="555555"/>
          <w:sz w:val="18"/>
        </w:rPr>
        <w:t>Board of Directors — Annual Strategic Review</w:t>
      </w:r>
    </w:p>
    <w:p>
      <w:pPr>
        <w:spacing w:before="0" w:after="120"/>
        <w:jc w:val="center"/>
      </w:pPr>
      <w:r>
        <w:rPr>
          <w:color w:val="555555"/>
          <w:sz w:val="18"/>
        </w:rPr>
        <w:t>CEO Opening Remarks  |  Catherine Park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00" w:after="200"/>
        <w:jc w:val="center"/>
      </w:pPr>
      <w:r>
        <w:rPr>
          <w:b/>
          <w:color w:val="1A5276"/>
          <w:sz w:val="24"/>
        </w:rPr>
        <w:t>Meridian is profitable, decelerating, and at an inflection point:</w:t>
        <w:br/>
        <w:t>the decisions we make in 2026 will determine whether we are a managed-decline</w:t>
        <w:br/>
        <w:t>business or the defining agentic-work platform in regulated enterprise.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00" w:after="80"/>
      </w:pPr>
      <w:r>
        <w:rPr>
          <w:b/>
          <w:color w:val="1A5276"/>
          <w:sz w:val="22"/>
        </w:rPr>
        <w:t>The Numbers in One Picture</w:t>
      </w:r>
    </w:p>
    <w:p>
      <w:pPr>
        <w:spacing w:before="0" w:after="120"/>
      </w:pPr>
      <w:r>
        <w:rPr>
          <w:b w:val="0"/>
          <w:i w:val="0"/>
          <w:color w:val="555555"/>
          <w:sz w:val="20"/>
        </w:rPr>
        <w:t>Revenue growth has decelerated every year since 2022 — 28% → 19% → 16% → 11%. Operating and free-cash-flow margins have expanded every year. This is what a business looks like when cost discipline outpaces growth investment. Both trends are intentional. Neither is sustainable indefinitely.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5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_tren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i/>
          <w:color w:val="555555"/>
          <w:sz w:val="17"/>
        </w:rPr>
        <w:t>Figure 1 — Revenue growth (bars, left axis) vs. operating and FCF margins (lines, right axis), 2023–2025.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40" w:after="80"/>
      </w:pPr>
      <w:r>
        <w:rPr>
          <w:b/>
          <w:color w:val="1A5276"/>
          <w:sz w:val="26"/>
        </w:rPr>
        <w:t>Three Issues for the Board</w:t>
      </w:r>
    </w:p>
    <w:p>
      <w:pPr>
        <w:spacing w:before="200" w:after="60"/>
      </w:pPr>
      <w:r>
        <w:rPr>
          <w:b/>
          <w:color w:val="C0392B"/>
          <w:sz w:val="22"/>
        </w:rPr>
        <w:t>1.  Growth deceleration is structural — and the 2026 plan does not fully reverse it.</w:t>
      </w:r>
    </w:p>
    <w:p>
      <w:pPr>
        <w:spacing w:before="0" w:after="80"/>
      </w:pPr>
      <w:r>
        <w:rPr>
          <w:b w:val="0"/>
          <w:i w:val="0"/>
          <w:color w:val="555555"/>
          <w:sz w:val="20"/>
        </w:rPr>
        <w:t>We will guide 2026 at 10–14% growth. The plan we approved in 2022 assumed $560M revenue by 2026; we will deliver $440–455M — a $100M+ miss. This is not a communication problem. It is a structural problem.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Trend: </w:t>
      </w:r>
      <w:r>
        <w:rPr>
          <w:color w:val="555555"/>
          <w:sz w:val="21"/>
        </w:rPr>
        <w:t>Revenue growth: 28% (2022) → 19% (2023) → 16% (2024) → 11% (2025). No quarter has reversed the trend.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Efficiency: </w:t>
      </w:r>
      <w:r>
        <w:rPr>
          <w:color w:val="555555"/>
          <w:sz w:val="21"/>
        </w:rPr>
        <w:t>Magic number fell from 1.20 (Q1 2024) to 0.92 (Q4 2025). CAC payback stretched from 18 to 22 months. We are spending more per dollar of new ARR, not less.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Mix: </w:t>
      </w:r>
      <w:r>
        <w:rPr>
          <w:color w:val="555555"/>
          <w:sz w:val="21"/>
        </w:rPr>
        <w:t>SMB, once 38% of ARR, is now 13% and declining 23% YoY. The prior plan called this a controlled wind-down. It was a hemorrhage.</w:t>
      </w:r>
    </w:p>
    <w:p>
      <w:pPr>
        <w:spacing w:before="100" w:after="40"/>
      </w:pPr>
      <w:r>
        <w:rPr>
          <w:b w:val="0"/>
          <w:i/>
          <w:color w:val="555555"/>
          <w:sz w:val="20"/>
        </w:rPr>
        <w:t>The board needs to understand: reacceleration requires a second leg beyond enterprise growth. My stress-test shows Copilot at per-seat pricing cannot close the gap alone. Consumption pricing — currently a Q3 2026 roadmap item — is the single most leveraged variable in our 2027 growth rate.</w:t>
      </w:r>
    </w:p>
    <w:p>
      <w:pPr>
        <w:spacing w:before="200" w:after="60"/>
      </w:pPr>
      <w:r>
        <w:rPr>
          <w:b/>
          <w:color w:val="C0392B"/>
          <w:sz w:val="22"/>
        </w:rPr>
        <w:t>2.  The AI Copilot bet is real — and fragile.</w:t>
      </w:r>
    </w:p>
    <w:p>
      <w:pPr>
        <w:spacing w:before="0" w:after="80"/>
      </w:pPr>
      <w:r>
        <w:rPr>
          <w:b w:val="0"/>
          <w:i w:val="0"/>
          <w:color w:val="555555"/>
          <w:sz w:val="20"/>
        </w:rPr>
        <w:t>Copilot reached GA in September 2025, hit 710 paying seats by year-end against an internal target of 600, and achieved a 44% enterprise renewal attach rate. The Helio acquisition has already compressed our agent architecture roadmap by an estimated 15 months. These are genuine wins. Three risks sit directly underneath them.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Competitive: </w:t>
      </w:r>
      <w:r>
        <w:rPr>
          <w:color w:val="555555"/>
          <w:sz w:val="21"/>
        </w:rPr>
        <w:t>Asana shipped its full agent suite in November. Monday now has larger ARR than Meridian. ClearAI Work raised $120M at $1B+ valuation. Atlassian's agentic Jira will appear in our enterprise deals directly. The window to establish Copilot as the enterprise-grade choice is 2026.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Capacity: </w:t>
      </w:r>
      <w:r>
        <w:rPr>
          <w:color w:val="555555"/>
          <w:sz w:val="21"/>
        </w:rPr>
        <w:t>The 2026 roadmap requires 80 net new engineers in H1. At 15% annual attrition, actual net adds are closer to 25. Six of twelve 2025 roadmap items slipped at least one quarter.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Retention: </w:t>
      </w:r>
      <w:r>
        <w:rPr>
          <w:color w:val="555555"/>
          <w:sz w:val="21"/>
        </w:rPr>
        <w:t>The Helio retention equity vests over four years with a cash cliff in 2026. 26 of 28 engineers are still here. The agent-builder roadmap (Q2 2026) depends on keeping them.</w:t>
      </w:r>
    </w:p>
    <w:p>
      <w:pPr>
        <w:spacing w:before="100" w:after="40"/>
      </w:pPr>
      <w:r>
        <w:rPr>
          <w:b w:val="0"/>
          <w:i/>
          <w:color w:val="555555"/>
          <w:sz w:val="20"/>
        </w:rPr>
        <w:t>The board should ask: what is the specific plan to close the engineering capacity gap, and what is the contingency if Helio retention slips post-cliff?</w:t>
      </w:r>
    </w:p>
    <w:p>
      <w:pPr>
        <w:spacing w:before="200" w:after="60"/>
      </w:pPr>
      <w:r>
        <w:rPr>
          <w:b/>
          <w:color w:val="C0392B"/>
          <w:sz w:val="22"/>
        </w:rPr>
        <w:t>3.  Mid-market is the quiet risk no one is talking about.</w:t>
      </w:r>
    </w:p>
    <w:p>
      <w:pPr>
        <w:spacing w:before="0" w:after="80"/>
      </w:pPr>
      <w:r>
        <w:rPr>
          <w:b w:val="0"/>
          <w:i w:val="0"/>
          <w:color w:val="555555"/>
          <w:sz w:val="20"/>
        </w:rPr>
        <w:t>Enterprise is healthy. SMB decline is visible and being managed. Mid-market — 47% of our ARR — is quietly eroding and has not found a floor.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NRR compression: </w:t>
      </w:r>
      <w:r>
        <w:rPr>
          <w:color w:val="555555"/>
          <w:sz w:val="21"/>
        </w:rPr>
        <w:t>Mid-market NRR has declined every single quarter in our dataset: 108% (Q1 2024) → 102% (Q4 2025). Gross logo churn rose from 9.1% to 10.2%.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Pricing pressure: </w:t>
      </w:r>
      <w:r>
        <w:rPr>
          <w:color w:val="555555"/>
          <w:sz w:val="21"/>
        </w:rPr>
        <w:t>Asana is now bundling AI into its standard tier. Mid-market renewals are pushing for price holds, expanded user counts at flat price, or Copilot bundled at no cost. We are holding the line — for now.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Product gap: </w:t>
      </w:r>
      <w:r>
        <w:rPr>
          <w:color w:val="555555"/>
          <w:sz w:val="21"/>
        </w:rPr>
        <w:t>The resource management module — the top-3 ask from our customer advisory board and the primary mid-market expansion lever — was deferred in 2025 and is not scheduled until Q2 2026.</w:t>
      </w:r>
    </w:p>
    <w:p>
      <w:pPr>
        <w:pStyle w:val="ListBullet"/>
        <w:spacing w:before="20" w:after="20"/>
      </w:pPr>
      <w:r>
        <w:rPr>
          <w:b/>
          <w:color w:val="000000"/>
          <w:sz w:val="21"/>
        </w:rPr>
        <w:t xml:space="preserve">Sales confidence: </w:t>
      </w:r>
      <w:r>
        <w:rPr>
          <w:color w:val="555555"/>
          <w:sz w:val="21"/>
        </w:rPr>
        <w:t>28% of sales respondents in the 2025 employee survey said they cannot crisply differentiate Meridian from Asana with AI.</w:t>
      </w:r>
    </w:p>
    <w:p>
      <w:pPr>
        <w:spacing w:before="100" w:after="40"/>
      </w:pPr>
      <w:r>
        <w:rPr>
          <w:b w:val="0"/>
          <w:i/>
          <w:color w:val="555555"/>
          <w:sz w:val="20"/>
        </w:rPr>
        <w:t>If mid-market NRR continues compressing into the high 90s, this segment becomes a retention story. The math on 15%+ company growth becomes very hard even with strong enterprise execution.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240" w:after="80"/>
      </w:pPr>
      <w:r>
        <w:rPr>
          <w:b/>
          <w:color w:val="1A5276"/>
          <w:sz w:val="26"/>
        </w:rPr>
        <w:t>My One Ask of the Board</w:t>
      </w:r>
    </w:p>
    <w:p>
      <w:pPr>
        <w:spacing w:before="0" w:after="120"/>
      </w:pPr>
      <w:r>
        <w:rPr>
          <w:b w:val="0"/>
          <w:i w:val="0"/>
          <w:color w:val="555555"/>
          <w:sz w:val="20"/>
        </w:rPr>
        <w:t>I am not asking for approval of a full three-year plan today. I will bring that to the board no later than Q1 2026, consistent with the authorization given at the time of my appointment. What I am asking for today is one decision:</w:t>
      </w:r>
    </w:p>
    <w:p>
      <w:pPr>
        <w:spacing w:before="120" w:after="120"/>
        <w:ind w:left="720" w:right="720"/>
        <w:jc w:val="center"/>
      </w:pPr>
      <w:r>
        <w:rPr>
          <w:b/>
          <w:color w:val="1A5276"/>
          <w:sz w:val="22"/>
        </w:rPr>
        <w:t>Authorize management to move the Copilot consumption-pricing model from a Q3 2026 roadmap item to a Q1 2026 strategic priority, with CFO, CRO, and CPO jointly accountable for a board-ready proposal by the March meeting.</w:t>
      </w:r>
    </w:p>
    <w:p>
      <w:pPr>
        <w:spacing w:before="120" w:after="80"/>
      </w:pPr>
      <w:r>
        <w:rPr>
          <w:b w:val="0"/>
          <w:i w:val="0"/>
          <w:color w:val="555555"/>
          <w:sz w:val="20"/>
        </w:rPr>
        <w:t>This is the single decision with the highest leverage on our 2027 growth rate. It does not require additional capital. It requires alignment at the executive level and a clear signal from this board that growth reacceleration — not margin expansion — is the primary objective for 2026.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before="160"/>
      </w:pPr>
      <w:r>
        <w:rPr>
          <w:i/>
          <w:color w:val="555555"/>
          <w:sz w:val="15"/>
        </w:rPr>
        <w:t>Supporting materials: meridian_financials_2022_2025.csv  |  meridian_kpis_2024.csv  |  meridian_segments_overview.md  |  meridian_product_roadmap_2025.md  |  meridian_earnings_call_q1–q4_2025.txt  |  copilot_stress_test.png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