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6624"/>
            <w:shd w:val="clear" w:color="auto" w:fill="1A5276"/>
          </w:tcPr>
          <w:p>
            <w:pPr>
              <w:spacing w:before="100" w:after="20"/>
              <w:jc w:val="left"/>
            </w:pPr>
            <w:r>
              <w:rPr>
                <w:b/>
                <w:i w:val="0"/>
                <w:color w:val="FFFFFF"/>
                <w:sz w:val="16"/>
              </w:rPr>
              <w:t>MERIDIAN TECHNOLOGIES  (NASDAQ: MRDN)</w:t>
            </w:r>
          </w:p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AED6F1"/>
                <w:sz w:val="16"/>
              </w:rPr>
              <w:t>Investor Day  —  March 11, 2026</w:t>
            </w:r>
          </w:p>
        </w:tc>
        <w:tc>
          <w:tcPr>
            <w:tcW w:type="dxa" w:w="4176"/>
            <w:shd w:val="clear" w:color="auto" w:fill="1A5276"/>
          </w:tcPr>
          <w:p>
            <w:pPr>
              <w:spacing w:before="100" w:after="20"/>
              <w:jc w:val="right"/>
            </w:pPr>
            <w:r>
              <w:rPr>
                <w:b w:val="0"/>
                <w:i/>
                <w:color w:val="AED6F1"/>
                <w:sz w:val="14"/>
              </w:rPr>
              <w:t>CONFIDENTIAL  |  Forward-looking statements apply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FFFFFF"/>
                <w:sz w:val="16"/>
              </w:rPr>
              <w:t>Catherine Park, President &amp; CEO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800"/>
            <w:shd w:val="clear" w:color="auto" w:fill="EAF4FB"/>
            <w:tcBorders>
              <w:left w:val="single" w:sz="12" w:space="0" w:color="1A5276"/>
            </w:tcBorders>
          </w:tcPr>
          <w:p>
            <w:pPr>
              <w:spacing w:before="120" w:after="120"/>
              <w:ind w:left="173"/>
            </w:pPr>
            <w:r>
              <w:rPr>
                <w:b/>
                <w:color w:val="1A5276"/>
                <w:sz w:val="24"/>
              </w:rPr>
              <w:t>Meridian is the agentic work platform that regulated enterprises trust — the only place where your agents have a full audit trail.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3499"/>
            <w:shd w:val="clear" w:color="auto" w:fill="1A5276"/>
          </w:tcPr>
          <w:p>
            <w:pPr>
              <w:spacing w:before="80" w:after="60"/>
              <w:ind w:left="115"/>
            </w:pPr>
            <w:r>
              <w:rPr>
                <w:b/>
                <w:color w:val="FFFFFF"/>
                <w:sz w:val="16"/>
              </w:rPr>
              <w:t>WHERE WE ARE</w:t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FY 2025 results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Revenue:  $400M  (+11% YoY)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ARR:  $413M  (+10% YoY)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Op. margin:  12.4%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FCF margin:  17.8%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Cash + investments:  $506M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Debt:  $0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Segment ARR mix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Enterprise  $167M  +21% YoY  NRR 125%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Mid-market  $194M  +6% YoY  NRR 102%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SMB  $52M  –23% YoY  NRR 84%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AI Copilot (first full year)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710 paying seats at year-end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44% attach on Q4 enterprise renewals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$3.5M ARR contribution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C0392B"/>
                <w:sz w:val="16"/>
              </w:rPr>
              <w:t>Growth has decelerated four years running.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C0392B"/>
                <w:sz w:val="16"/>
              </w:rPr>
              <w:t>Margins have expanded four years running.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C0392B"/>
                <w:sz w:val="17"/>
              </w:rPr>
              <w:t>We are choosing growth.</w:t>
            </w:r>
          </w:p>
        </w:tc>
        <w:tc>
          <w:tcPr>
            <w:tcW w:type="dxa" w:w="3499"/>
            <w:shd w:val="clear" w:color="auto" w:fill="1A5276"/>
          </w:tcPr>
          <w:p>
            <w:pPr>
              <w:spacing w:before="80" w:after="60"/>
              <w:ind w:left="115"/>
            </w:pPr>
            <w:r>
              <w:rPr>
                <w:b/>
                <w:color w:val="FFFFFF"/>
                <w:sz w:val="16"/>
              </w:rPr>
              <w:t>THE THREE-YEAR STRATEGY</w:t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One positioning sentence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171717"/>
                <w:sz w:val="17"/>
              </w:rPr>
              <w:t>We are not a PM tool with AI.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171717"/>
                <w:sz w:val="17"/>
              </w:rPr>
              <w:t>We are the platform on which enterprise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171717"/>
                <w:sz w:val="17"/>
              </w:rPr>
              <w:t>agents run — with the audit trail that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171717"/>
                <w:sz w:val="17"/>
              </w:rPr>
              <w:t>Asana, Monday, and Atlassian cannot offer.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Pillar 1 — Enterprise agent governance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Ship enterprise governance suite Q1 2026: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agent audit logs, role-based permissions,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model selection, EU data residency.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This is the moat. No competitor has built it.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Pillar 2 — Agent platform &amp; pricing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Agent builder GA Q2 2026 (Helio team).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Consumption pricing launched H2 2026: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per-seat for PM, per-action for agents.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Model-neutral: no single-lab dependency.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Pillar 3 — Enterprise expansion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Target: 250 enterprise logos by end 2027.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GxP-validated environment Q4 2026.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Tier 1 SI partnership signed H1 2026.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Second AI-native acquisition in H2 2026.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EMEA investment committed in 2026 plan.</w:t>
            </w:r>
          </w:p>
        </w:tc>
        <w:tc>
          <w:tcPr>
            <w:tcW w:type="dxa" w:w="3499"/>
            <w:shd w:val="clear" w:color="auto" w:fill="1A5276"/>
          </w:tcPr>
          <w:p>
            <w:pPr>
              <w:spacing w:before="80" w:after="60"/>
              <w:ind w:left="115"/>
            </w:pPr>
            <w:r>
              <w:rPr>
                <w:b/>
                <w:color w:val="FFFFFF"/>
                <w:sz w:val="16"/>
              </w:rPr>
              <w:t>TARGETS &amp; CAPITAL ALLOCATION</w:t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2026 guidance (reaffirmed)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Revenue:  $440–455M  (+10–14%)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Op. margin:  14–15%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FCF:  ~$75M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2028 targets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Revenue:  $750–900M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ARR growth:  18–25% by 2027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Op. margin:  16–18%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Copilot / agent ARR:  $80–150M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Enterprise NRR:  sustained &gt;120%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555555"/>
                <w:sz w:val="16"/>
              </w:rPr>
              <w:t>The range is intentional.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555555"/>
                <w:sz w:val="16"/>
              </w:rPr>
              <w:t>Upside requires consumption pricing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/>
                <w:color w:val="555555"/>
                <w:sz w:val="16"/>
              </w:rPr>
              <w:t>adoption ahead of plan.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Capital allocation priority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$250M capacity for AI M&amp;A in 2026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$200M revolver undrawn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Buyback resumes Q2 2026 ($140M auth.)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6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/>
                <w:i w:val="0"/>
                <w:color w:val="1A5276"/>
                <w:sz w:val="17"/>
              </w:rPr>
              <w:t>3 metrics we will report quarterly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8"/>
              </w:rPr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1. Copilot attach rate on enterprise renewals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16"/>
              </w:rPr>
              <w:t xml:space="preserve">   (target: &gt;50% by Q4 2026)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2. Agent ARR as % of total ARR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16"/>
              </w:rPr>
              <w:t xml:space="preserve">   (target: &gt;10% by Q4 2027)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171717"/>
                <w:sz w:val="17"/>
              </w:rPr>
              <w:t>3. Enterprise NRR</w:t>
            </w:r>
          </w:p>
          <w:p>
            <w:pPr>
              <w:spacing w:before="20" w:after="20"/>
              <w:ind w:left="115" w:right="86"/>
            </w:pPr>
            <w:r>
              <w:rPr>
                <w:b w:val="0"/>
                <w:i w:val="0"/>
                <w:color w:val="555555"/>
                <w:sz w:val="16"/>
              </w:rPr>
              <w:t xml:space="preserve">   (floor: 120%)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shd w:val="clear" w:color="auto" w:fill="1A5276"/>
          </w:tcPr>
          <w:p>
            <w:pPr>
              <w:spacing w:before="60" w:after="40"/>
              <w:ind w:left="86"/>
            </w:pPr>
            <w:r>
              <w:rPr>
                <w:b/>
                <w:color w:val="FFFFFF"/>
                <w:sz w:val="16"/>
              </w:rPr>
              <w:t>Meridian vs. peers</w:t>
            </w:r>
          </w:p>
        </w:tc>
        <w:tc>
          <w:tcPr>
            <w:tcW w:type="dxa" w:w="2160"/>
            <w:shd w:val="clear" w:color="auto" w:fill="D5D8DC"/>
          </w:tcPr>
          <w:p>
            <w:pPr>
              <w:spacing w:before="60" w:after="40"/>
              <w:ind w:left="86"/>
            </w:pPr>
            <w:r>
              <w:rPr>
                <w:b/>
                <w:color w:val="171717"/>
                <w:sz w:val="16"/>
              </w:rPr>
              <w:t>Asana</w:t>
            </w:r>
          </w:p>
        </w:tc>
        <w:tc>
          <w:tcPr>
            <w:tcW w:type="dxa" w:w="2160"/>
            <w:shd w:val="clear" w:color="auto" w:fill="D5D8DC"/>
          </w:tcPr>
          <w:p>
            <w:pPr>
              <w:spacing w:before="60" w:after="40"/>
              <w:ind w:left="86"/>
            </w:pPr>
            <w:r>
              <w:rPr>
                <w:b/>
                <w:color w:val="171717"/>
                <w:sz w:val="16"/>
              </w:rPr>
              <w:t>Monday</w:t>
            </w:r>
          </w:p>
        </w:tc>
        <w:tc>
          <w:tcPr>
            <w:tcW w:type="dxa" w:w="2160"/>
            <w:shd w:val="clear" w:color="auto" w:fill="D5D8DC"/>
          </w:tcPr>
          <w:p>
            <w:pPr>
              <w:spacing w:before="60" w:after="40"/>
              <w:ind w:left="86"/>
            </w:pPr>
            <w:r>
              <w:rPr>
                <w:b/>
                <w:color w:val="171717"/>
                <w:sz w:val="16"/>
              </w:rPr>
              <w:t>Smartsheet</w:t>
            </w:r>
          </w:p>
        </w:tc>
        <w:tc>
          <w:tcPr>
            <w:tcW w:type="dxa" w:w="2160"/>
            <w:shd w:val="clear" w:color="auto" w:fill="D5D8DC"/>
          </w:tcPr>
          <w:p>
            <w:pPr>
              <w:spacing w:before="60" w:after="40"/>
              <w:ind w:left="86"/>
            </w:pPr>
            <w:r>
              <w:rPr>
                <w:b/>
                <w:color w:val="171717"/>
                <w:sz w:val="16"/>
              </w:rPr>
              <w:t>Atlassian</w:t>
            </w:r>
          </w:p>
        </w:tc>
      </w:tr>
      <w:tr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  <w:tc>
          <w:tcPr>
            <w:tcW w:type="dxa" w:w="2074"/>
          </w:tcPr>
          <w:p/>
        </w:tc>
      </w:tr>
      <w:tr>
        <w:tc>
          <w:tcPr>
            <w:tcW w:type="dxa" w:w="2160"/>
            <w:shd w:val="clear" w:color="auto" w:fill="EAF4FB"/>
          </w:tcPr>
          <w:p>
            <w:pPr>
              <w:spacing w:before="20" w:after="20"/>
              <w:ind w:left="86"/>
            </w:pPr>
            <w:r>
              <w:rPr>
                <w:b/>
                <w:color w:val="1A5276"/>
                <w:sz w:val="15"/>
              </w:rPr>
              <w:t>Agentic posture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Agent OS (strong)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Work OS + AI (broad)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PM + AI (conservative)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Rovo (most committed)</w:t>
            </w:r>
          </w:p>
        </w:tc>
      </w:tr>
      <w:tr>
        <w:tc>
          <w:tcPr>
            <w:tcW w:type="dxa" w:w="2160"/>
            <w:shd w:val="clear" w:color="auto" w:fill="EAF4FB"/>
          </w:tcPr>
          <w:p>
            <w:pPr>
              <w:spacing w:before="20" w:after="20"/>
              <w:ind w:left="86"/>
            </w:pPr>
            <w:r>
              <w:rPr>
                <w:b/>
                <w:color w:val="1A5276"/>
                <w:sz w:val="15"/>
              </w:rPr>
              <w:t>Enterprise governance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Weak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Weak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Moderate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Dev-only</w:t>
            </w:r>
          </w:p>
        </w:tc>
      </w:tr>
      <w:tr>
        <w:tc>
          <w:tcPr>
            <w:tcW w:type="dxa" w:w="2160"/>
            <w:shd w:val="clear" w:color="auto" w:fill="EAF4FB"/>
          </w:tcPr>
          <w:p>
            <w:pPr>
              <w:spacing w:before="20" w:after="20"/>
              <w:ind w:left="86"/>
            </w:pPr>
            <w:r>
              <w:rPr>
                <w:b/>
                <w:color w:val="1A5276"/>
                <w:sz w:val="15"/>
              </w:rPr>
              <w:t>Regulated verticals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Limited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None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Limited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Dev/IT only</w:t>
            </w:r>
          </w:p>
        </w:tc>
      </w:tr>
      <w:tr>
        <w:tc>
          <w:tcPr>
            <w:tcW w:type="dxa" w:w="2160"/>
            <w:shd w:val="clear" w:color="auto" w:fill="EAF4FB"/>
          </w:tcPr>
          <w:p>
            <w:pPr>
              <w:spacing w:before="20" w:after="20"/>
              <w:ind w:left="86"/>
            </w:pPr>
            <w:r>
              <w:rPr>
                <w:b/>
                <w:color w:val="1A5276"/>
                <w:sz w:val="15"/>
              </w:rPr>
              <w:t>Consumption pricing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Yes — Rovo</w:t>
            </w:r>
          </w:p>
        </w:tc>
      </w:tr>
      <w:tr>
        <w:tc>
          <w:tcPr>
            <w:tcW w:type="dxa" w:w="2160"/>
            <w:shd w:val="clear" w:color="auto" w:fill="EAF4FB"/>
          </w:tcPr>
          <w:p>
            <w:pPr>
              <w:spacing w:before="20" w:after="20"/>
              <w:ind w:left="86"/>
            </w:pPr>
            <w:r>
              <w:rPr>
                <w:b/>
                <w:color w:val="1A5276"/>
                <w:sz w:val="15"/>
              </w:rPr>
              <w:t>Meridian's edge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Governance moat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Governance + verticals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Earlier agentic pivot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  <w:ind w:left="86"/>
            </w:pPr>
            <w:r>
              <w:rPr>
                <w:b w:val="0"/>
                <w:color w:val="171717"/>
                <w:sz w:val="15"/>
              </w:rPr>
              <w:t>Non-dev verticals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800"/>
            <w:shd w:val="clear" w:color="auto" w:fill="1A5276"/>
          </w:tcPr>
          <w:p>
            <w:pPr>
              <w:spacing w:before="60" w:after="60"/>
              <w:jc w:val="center"/>
            </w:pPr>
            <w:r>
              <w:rPr>
                <w:color w:val="AED6F1"/>
                <w:sz w:val="15"/>
              </w:rPr>
              <w:t>Investor Day webcast: investors.meridiantech.com  |  March 11, 2026, 9:00 AM ET  |  IR contact: Tara Linwood  ir@meridiantech.com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