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3259F" w14:textId="354A7CF4" w:rsidR="003F24D1" w:rsidRPr="003F24D1" w:rsidRDefault="00B4158F" w:rsidP="00874951">
      <w:pPr>
        <w:pStyle w:val="Title"/>
      </w:pPr>
      <w:r>
        <w:t>WSUASTIS Fault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690"/>
        <w:gridCol w:w="3528"/>
      </w:tblGrid>
      <w:tr w:rsidR="003F24D1" w:rsidRPr="00956CD8" w14:paraId="3C8E3AAA" w14:textId="4F9E9C2F" w:rsidTr="003F24D1">
        <w:tc>
          <w:tcPr>
            <w:tcW w:w="2358" w:type="dxa"/>
            <w:shd w:val="clear" w:color="auto" w:fill="B3B3B7" w:themeFill="text2" w:themeFillTint="66"/>
          </w:tcPr>
          <w:p w14:paraId="496067EA" w14:textId="77777777" w:rsidR="003F24D1" w:rsidRPr="00956CD8" w:rsidRDefault="003F24D1" w:rsidP="00B4158F">
            <w:pPr>
              <w:jc w:val="center"/>
              <w:rPr>
                <w:rFonts w:cstheme="minorHAnsi"/>
                <w:b/>
                <w:szCs w:val="20"/>
              </w:rPr>
            </w:pPr>
            <w:r w:rsidRPr="00956CD8">
              <w:rPr>
                <w:rFonts w:cstheme="minorHAnsi"/>
                <w:b/>
                <w:szCs w:val="20"/>
              </w:rPr>
              <w:t>Type</w:t>
            </w:r>
          </w:p>
        </w:tc>
        <w:tc>
          <w:tcPr>
            <w:tcW w:w="3690" w:type="dxa"/>
            <w:shd w:val="clear" w:color="auto" w:fill="B3B3B7" w:themeFill="text2" w:themeFillTint="66"/>
          </w:tcPr>
          <w:p w14:paraId="25C4A669" w14:textId="77777777" w:rsidR="003F24D1" w:rsidRDefault="003F24D1" w:rsidP="00B4158F">
            <w:pPr>
              <w:jc w:val="center"/>
              <w:rPr>
                <w:rFonts w:cstheme="minorHAnsi"/>
                <w:b/>
                <w:szCs w:val="20"/>
              </w:rPr>
            </w:pPr>
            <w:r w:rsidRPr="00956CD8">
              <w:rPr>
                <w:rFonts w:cstheme="minorHAnsi"/>
                <w:b/>
                <w:szCs w:val="20"/>
              </w:rPr>
              <w:t>Specific</w:t>
            </w:r>
          </w:p>
          <w:p w14:paraId="0430C32B" w14:textId="316156B6" w:rsidR="00956CD8" w:rsidRPr="00956CD8" w:rsidRDefault="00956CD8" w:rsidP="00956CD8">
            <w:pPr>
              <w:jc w:val="center"/>
              <w:rPr>
                <w:sz w:val="20"/>
              </w:rPr>
            </w:pPr>
            <w:r w:rsidRPr="00956CD8">
              <w:rPr>
                <w:sz w:val="20"/>
              </w:rPr>
              <w:t>faults related to the implementati</w:t>
            </w:r>
            <w:r>
              <w:rPr>
                <w:sz w:val="20"/>
              </w:rPr>
              <w:t>on of structures and constructs</w:t>
            </w:r>
          </w:p>
          <w:p w14:paraId="127F668F" w14:textId="2864A2D6" w:rsidR="00956CD8" w:rsidRPr="00956CD8" w:rsidRDefault="00956CD8" w:rsidP="00B4158F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3528" w:type="dxa"/>
            <w:shd w:val="clear" w:color="auto" w:fill="B3B3B7" w:themeFill="text2" w:themeFillTint="66"/>
          </w:tcPr>
          <w:p w14:paraId="4FEC8590" w14:textId="77777777" w:rsidR="00956CD8" w:rsidRDefault="003F24D1" w:rsidP="00B4158F">
            <w:pPr>
              <w:jc w:val="center"/>
            </w:pPr>
            <w:r w:rsidRPr="00956CD8">
              <w:rPr>
                <w:rFonts w:cstheme="minorHAnsi"/>
                <w:b/>
                <w:szCs w:val="20"/>
              </w:rPr>
              <w:t>Non-specific</w:t>
            </w:r>
            <w:r w:rsidR="00956CD8">
              <w:t xml:space="preserve"> </w:t>
            </w:r>
          </w:p>
          <w:p w14:paraId="12DA90C4" w14:textId="3FCCC226" w:rsidR="003F24D1" w:rsidRPr="00956CD8" w:rsidRDefault="00956CD8" w:rsidP="00B4158F">
            <w:pPr>
              <w:jc w:val="center"/>
              <w:rPr>
                <w:rFonts w:cstheme="minorHAnsi"/>
                <w:b/>
                <w:szCs w:val="20"/>
              </w:rPr>
            </w:pPr>
            <w:r w:rsidRPr="00956CD8">
              <w:rPr>
                <w:sz w:val="20"/>
              </w:rPr>
              <w:t>faults that prevent conformance to the specification</w:t>
            </w:r>
          </w:p>
        </w:tc>
      </w:tr>
      <w:tr w:rsidR="003F24D1" w:rsidRPr="00956CD8" w14:paraId="52583448" w14:textId="65F072F0" w:rsidTr="003F24D1">
        <w:tc>
          <w:tcPr>
            <w:tcW w:w="2358" w:type="dxa"/>
          </w:tcPr>
          <w:p w14:paraId="376D66DF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Updating inventory </w:t>
            </w:r>
          </w:p>
        </w:tc>
        <w:tc>
          <w:tcPr>
            <w:tcW w:w="3690" w:type="dxa"/>
          </w:tcPr>
          <w:p w14:paraId="7B104E0D" w14:textId="455146B5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In a</w:t>
            </w:r>
            <w:r w:rsidRPr="00956CD8">
              <w:rPr>
                <w:rFonts w:cstheme="minorHAnsi"/>
                <w:i/>
                <w:sz w:val="20"/>
                <w:szCs w:val="20"/>
              </w:rPr>
              <w:t xml:space="preserve"> sales transaction</w:t>
            </w:r>
            <w:r w:rsidRPr="00956CD8">
              <w:rPr>
                <w:rFonts w:cstheme="minorHAnsi"/>
                <w:sz w:val="20"/>
                <w:szCs w:val="20"/>
              </w:rPr>
              <w:t xml:space="preserve"> decrement quantity in inventory database based on quantity sold </w:t>
            </w:r>
          </w:p>
          <w:p w14:paraId="3B8F4F25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  <w:p w14:paraId="27F5B71C" w14:textId="77777777" w:rsidR="003F24D1" w:rsidRPr="00956CD8" w:rsidRDefault="003F24D1" w:rsidP="003F24D1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i/>
                <w:sz w:val="20"/>
                <w:szCs w:val="20"/>
              </w:rPr>
              <w:t>Return transaction</w:t>
            </w:r>
            <w:r w:rsidRPr="00956CD8">
              <w:rPr>
                <w:rFonts w:cstheme="minorHAnsi"/>
                <w:sz w:val="20"/>
                <w:szCs w:val="20"/>
              </w:rPr>
              <w:t xml:space="preserve"> – increment quantity in inventory database based on quantity returned </w:t>
            </w:r>
          </w:p>
          <w:p w14:paraId="187E6226" w14:textId="77777777" w:rsidR="003F24D1" w:rsidRPr="00956CD8" w:rsidRDefault="003F24D1" w:rsidP="003F24D1">
            <w:pPr>
              <w:rPr>
                <w:rFonts w:cstheme="minorHAnsi"/>
                <w:sz w:val="20"/>
                <w:szCs w:val="20"/>
              </w:rPr>
            </w:pPr>
          </w:p>
          <w:p w14:paraId="2CD8DCA0" w14:textId="43880F64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i/>
                <w:sz w:val="20"/>
                <w:szCs w:val="20"/>
              </w:rPr>
              <w:t xml:space="preserve">Buy out case - </w:t>
            </w:r>
            <w:r w:rsidRPr="00956CD8">
              <w:rPr>
                <w:rFonts w:cstheme="minorHAnsi"/>
                <w:sz w:val="20"/>
                <w:szCs w:val="20"/>
              </w:rPr>
              <w:t xml:space="preserve">Don’t complete sale if quantity desired exceeds quantity available in inventory </w:t>
            </w:r>
          </w:p>
          <w:p w14:paraId="5F84A737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  <w:p w14:paraId="1FB98A06" w14:textId="7C3E0899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i/>
                <w:sz w:val="20"/>
                <w:szCs w:val="20"/>
              </w:rPr>
              <w:t xml:space="preserve">Return items not already in database – </w:t>
            </w:r>
            <w:r w:rsidRPr="00956CD8">
              <w:rPr>
                <w:rFonts w:cstheme="minorHAnsi"/>
                <w:sz w:val="20"/>
                <w:szCs w:val="20"/>
              </w:rPr>
              <w:t>not currently possible</w:t>
            </w:r>
          </w:p>
          <w:p w14:paraId="2BF0DCED" w14:textId="00B27989" w:rsidR="003F24D1" w:rsidRPr="00956CD8" w:rsidRDefault="003F24D1" w:rsidP="003F24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8" w:type="dxa"/>
          </w:tcPr>
          <w:p w14:paraId="547642D1" w14:textId="59ED3603" w:rsidR="003F24D1" w:rsidRPr="00956CD8" w:rsidRDefault="003F24D1" w:rsidP="00B4158F">
            <w:pPr>
              <w:rPr>
                <w:rFonts w:cstheme="minorHAnsi"/>
                <w:i/>
                <w:sz w:val="20"/>
                <w:szCs w:val="20"/>
              </w:rPr>
            </w:pPr>
            <w:r w:rsidRPr="00956CD8">
              <w:rPr>
                <w:rFonts w:cstheme="minorHAnsi"/>
                <w:i/>
                <w:sz w:val="20"/>
                <w:szCs w:val="20"/>
              </w:rPr>
              <w:t xml:space="preserve">Manual editing inventory – </w:t>
            </w:r>
            <w:r w:rsidRPr="00956CD8">
              <w:rPr>
                <w:rFonts w:cstheme="minorHAnsi"/>
                <w:sz w:val="20"/>
                <w:szCs w:val="20"/>
              </w:rPr>
              <w:t xml:space="preserve">only performed by manager. Input validation is limited in this implementation.  </w:t>
            </w:r>
          </w:p>
        </w:tc>
      </w:tr>
      <w:tr w:rsidR="003F24D1" w:rsidRPr="00956CD8" w14:paraId="6353A2B0" w14:textId="57EE3FC4" w:rsidTr="003F24D1">
        <w:tc>
          <w:tcPr>
            <w:tcW w:w="2358" w:type="dxa"/>
          </w:tcPr>
          <w:p w14:paraId="1CDA933D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Transaction ID</w:t>
            </w:r>
          </w:p>
        </w:tc>
        <w:tc>
          <w:tcPr>
            <w:tcW w:w="3690" w:type="dxa"/>
          </w:tcPr>
          <w:p w14:paraId="084F3FEA" w14:textId="296BEEA7" w:rsidR="003F24D1" w:rsidRPr="00956CD8" w:rsidRDefault="003F24D1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A </w:t>
            </w:r>
            <w:r w:rsidRPr="00956CD8">
              <w:rPr>
                <w:rFonts w:cstheme="minorHAnsi"/>
                <w:i/>
                <w:sz w:val="20"/>
                <w:szCs w:val="20"/>
              </w:rPr>
              <w:t xml:space="preserve">Transaction object </w:t>
            </w:r>
            <w:r w:rsidRPr="00956CD8">
              <w:rPr>
                <w:rFonts w:cstheme="minorHAnsi"/>
                <w:sz w:val="20"/>
                <w:szCs w:val="20"/>
              </w:rPr>
              <w:t xml:space="preserve">and corresponding database have yet been defined in this implementation but would be a necessary component in a real system. </w:t>
            </w:r>
            <w:r w:rsidR="009E5357" w:rsidRPr="00956CD8">
              <w:rPr>
                <w:rFonts w:cstheme="minorHAnsi"/>
                <w:sz w:val="20"/>
                <w:szCs w:val="20"/>
              </w:rPr>
              <w:t>Shou</w:t>
            </w:r>
            <w:r w:rsidR="00874951">
              <w:rPr>
                <w:rFonts w:cstheme="minorHAnsi"/>
                <w:sz w:val="20"/>
                <w:szCs w:val="20"/>
              </w:rPr>
              <w:t xml:space="preserve">ld work on this project exceed </w:t>
            </w:r>
            <w:r w:rsidR="009E5357" w:rsidRPr="00956CD8">
              <w:rPr>
                <w:rFonts w:cstheme="minorHAnsi"/>
                <w:sz w:val="20"/>
                <w:szCs w:val="20"/>
              </w:rPr>
              <w:t xml:space="preserve">the scope of the course work, this type of table should be included in the next implementation. </w:t>
            </w:r>
          </w:p>
        </w:tc>
        <w:tc>
          <w:tcPr>
            <w:tcW w:w="3528" w:type="dxa"/>
          </w:tcPr>
          <w:p w14:paraId="30904C52" w14:textId="22BC4A9D" w:rsidR="003F24D1" w:rsidRPr="00956CD8" w:rsidRDefault="009E5357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Must be infinitely unique</w:t>
            </w:r>
          </w:p>
          <w:p w14:paraId="2ACCA601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  <w:p w14:paraId="6A1114FF" w14:textId="041BEB0C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Specification could be interpreted to imply that a transaction object </w:t>
            </w:r>
            <w:r w:rsidR="009E5357" w:rsidRPr="00956CD8">
              <w:rPr>
                <w:rFonts w:cstheme="minorHAnsi"/>
                <w:sz w:val="20"/>
                <w:szCs w:val="20"/>
              </w:rPr>
              <w:t xml:space="preserve">and corresponding database are created. Implementation of such data table would also solve the problem with unique Transaction IDs. </w:t>
            </w:r>
          </w:p>
        </w:tc>
      </w:tr>
      <w:tr w:rsidR="003F24D1" w:rsidRPr="00956CD8" w14:paraId="2690F393" w14:textId="2C5F6FD3" w:rsidTr="003F24D1">
        <w:tc>
          <w:tcPr>
            <w:tcW w:w="2358" w:type="dxa"/>
          </w:tcPr>
          <w:p w14:paraId="1A951A00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User permissions</w:t>
            </w:r>
          </w:p>
        </w:tc>
        <w:tc>
          <w:tcPr>
            <w:tcW w:w="3690" w:type="dxa"/>
          </w:tcPr>
          <w:p w14:paraId="29C8540C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  <w:p w14:paraId="798458C9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  <w:p w14:paraId="654F1978" w14:textId="1D6FA65A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8" w:type="dxa"/>
          </w:tcPr>
          <w:p w14:paraId="7BC29529" w14:textId="75F63E9D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Only managers can enter or change inventory records manually. </w:t>
            </w:r>
          </w:p>
          <w:p w14:paraId="31FE20E1" w14:textId="77777777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</w:p>
          <w:p w14:paraId="38C67EE0" w14:textId="77777777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Only managers may change discount percentages and amounts.</w:t>
            </w:r>
          </w:p>
          <w:p w14:paraId="3CDC996A" w14:textId="77777777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</w:p>
          <w:p w14:paraId="6451CEC9" w14:textId="4D548209" w:rsidR="003F24D1" w:rsidRPr="00956CD8" w:rsidRDefault="009E5357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Both managers and users can apply a single discount to a transaction (see Applying Transactions below.)</w:t>
            </w:r>
          </w:p>
        </w:tc>
      </w:tr>
      <w:tr w:rsidR="003F24D1" w:rsidRPr="00956CD8" w14:paraId="4E03C081" w14:textId="3176ECC2" w:rsidTr="003F24D1">
        <w:tc>
          <w:tcPr>
            <w:tcW w:w="2358" w:type="dxa"/>
          </w:tcPr>
          <w:p w14:paraId="21DD2638" w14:textId="3E0D6C0F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Object definitions</w:t>
            </w:r>
            <w:r w:rsidR="009E5357" w:rsidRPr="00956CD8">
              <w:rPr>
                <w:rFonts w:cstheme="minorHAnsi"/>
                <w:sz w:val="20"/>
                <w:szCs w:val="20"/>
              </w:rPr>
              <w:t xml:space="preserve"> </w:t>
            </w:r>
            <w:r w:rsidR="009E5357" w:rsidRPr="00956CD8">
              <w:rPr>
                <w:rFonts w:cstheme="minorHAnsi"/>
                <w:sz w:val="20"/>
                <w:szCs w:val="20"/>
              </w:rPr>
              <w:br/>
              <w:t>(hopefully limited to this implementation)</w:t>
            </w:r>
          </w:p>
        </w:tc>
        <w:tc>
          <w:tcPr>
            <w:tcW w:w="3690" w:type="dxa"/>
          </w:tcPr>
          <w:p w14:paraId="5ACD51E7" w14:textId="77777777" w:rsidR="003F24D1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Frankly, the current </w:t>
            </w:r>
            <w:r w:rsidR="003F24D1" w:rsidRPr="00956CD8">
              <w:rPr>
                <w:rFonts w:cstheme="minorHAnsi"/>
                <w:sz w:val="20"/>
                <w:szCs w:val="20"/>
              </w:rPr>
              <w:t xml:space="preserve">implementation </w:t>
            </w:r>
            <w:r w:rsidRPr="00956CD8">
              <w:rPr>
                <w:rFonts w:cstheme="minorHAnsi"/>
                <w:sz w:val="20"/>
                <w:szCs w:val="20"/>
              </w:rPr>
              <w:t>was not given sufficient amounts of consideration in terms of architecture and design. The o</w:t>
            </w:r>
            <w:r w:rsidR="003F24D1" w:rsidRPr="00956CD8">
              <w:rPr>
                <w:rFonts w:cstheme="minorHAnsi"/>
                <w:sz w:val="20"/>
                <w:szCs w:val="20"/>
              </w:rPr>
              <w:t>bjects for categories, subcategories and products</w:t>
            </w:r>
            <w:r w:rsidRPr="00956CD8">
              <w:rPr>
                <w:rFonts w:cstheme="minorHAnsi"/>
                <w:sz w:val="20"/>
                <w:szCs w:val="20"/>
              </w:rPr>
              <w:t xml:space="preserve"> may define unused attributes or be missing attributes</w:t>
            </w:r>
            <w:r w:rsidR="003F24D1" w:rsidRPr="00956CD8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11CBFCE3" w14:textId="77777777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</w:p>
          <w:p w14:paraId="3C1007B0" w14:textId="59B14E81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A transaction object should be created as well as a corresponding database of transactions. </w:t>
            </w:r>
          </w:p>
        </w:tc>
        <w:tc>
          <w:tcPr>
            <w:tcW w:w="3528" w:type="dxa"/>
          </w:tcPr>
          <w:p w14:paraId="3A658BFE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24D1" w:rsidRPr="00956CD8" w14:paraId="04916DBC" w14:textId="64B86DFB" w:rsidTr="003F24D1">
        <w:tc>
          <w:tcPr>
            <w:tcW w:w="2358" w:type="dxa"/>
          </w:tcPr>
          <w:p w14:paraId="00FCFF57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Modifying database contents</w:t>
            </w:r>
          </w:p>
        </w:tc>
        <w:tc>
          <w:tcPr>
            <w:tcW w:w="3690" w:type="dxa"/>
          </w:tcPr>
          <w:p w14:paraId="00241DA2" w14:textId="4589737C" w:rsidR="003F24D1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Database should be modified based on each transaction (sale and return) and also </w:t>
            </w:r>
            <w:r w:rsidRPr="00956CD8">
              <w:rPr>
                <w:rFonts w:cstheme="minorHAnsi"/>
                <w:sz w:val="20"/>
                <w:szCs w:val="20"/>
              </w:rPr>
              <w:lastRenderedPageBreak/>
              <w:t>by</w:t>
            </w:r>
            <w:r w:rsidR="003F24D1" w:rsidRPr="00956CD8">
              <w:rPr>
                <w:rFonts w:cstheme="minorHAnsi"/>
                <w:sz w:val="20"/>
                <w:szCs w:val="20"/>
              </w:rPr>
              <w:t xml:space="preserve"> manual c</w:t>
            </w:r>
            <w:r w:rsidRPr="00956CD8">
              <w:rPr>
                <w:rFonts w:cstheme="minorHAnsi"/>
                <w:sz w:val="20"/>
                <w:szCs w:val="20"/>
              </w:rPr>
              <w:t xml:space="preserve">hanging of inventory by manager. It should not be modified under any other circumstances. </w:t>
            </w:r>
          </w:p>
        </w:tc>
        <w:tc>
          <w:tcPr>
            <w:tcW w:w="3528" w:type="dxa"/>
          </w:tcPr>
          <w:p w14:paraId="774CE14F" w14:textId="2214059E" w:rsidR="009E5357" w:rsidRPr="00956CD8" w:rsidRDefault="009E5357" w:rsidP="009E5357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lastRenderedPageBreak/>
              <w:t>Manual entry of inventory records</w:t>
            </w:r>
            <w:r w:rsidR="00922FCD" w:rsidRPr="00956CD8">
              <w:rPr>
                <w:rFonts w:cstheme="minorHAnsi"/>
                <w:sz w:val="20"/>
                <w:szCs w:val="20"/>
              </w:rPr>
              <w:t xml:space="preserve"> require manager permissions</w:t>
            </w:r>
          </w:p>
          <w:p w14:paraId="126026CE" w14:textId="77777777" w:rsidR="003F24D1" w:rsidRPr="00956CD8" w:rsidRDefault="003F24D1" w:rsidP="00B4158F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3F24D1" w:rsidRPr="00956CD8" w14:paraId="75547AF6" w14:textId="0DBD608A" w:rsidTr="003F24D1">
        <w:tc>
          <w:tcPr>
            <w:tcW w:w="2358" w:type="dxa"/>
          </w:tcPr>
          <w:p w14:paraId="5A2B6C77" w14:textId="752845A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lastRenderedPageBreak/>
              <w:t>Sale</w:t>
            </w:r>
            <w:r w:rsidR="00922FCD" w:rsidRPr="00956CD8">
              <w:rPr>
                <w:rFonts w:cstheme="minorHAnsi"/>
                <w:sz w:val="20"/>
                <w:szCs w:val="20"/>
              </w:rPr>
              <w:t>s</w:t>
            </w:r>
            <w:r w:rsidRPr="00956CD8">
              <w:rPr>
                <w:rFonts w:cstheme="minorHAnsi"/>
                <w:sz w:val="20"/>
                <w:szCs w:val="20"/>
              </w:rPr>
              <w:t xml:space="preserve"> transactions</w:t>
            </w:r>
          </w:p>
        </w:tc>
        <w:tc>
          <w:tcPr>
            <w:tcW w:w="3690" w:type="dxa"/>
          </w:tcPr>
          <w:p w14:paraId="25050DE8" w14:textId="77777777" w:rsidR="00922FCD" w:rsidRPr="00956CD8" w:rsidRDefault="003F24D1" w:rsidP="00B4158F">
            <w:pPr>
              <w:rPr>
                <w:rFonts w:cstheme="minorHAnsi"/>
                <w:i/>
                <w:sz w:val="20"/>
                <w:szCs w:val="20"/>
              </w:rPr>
            </w:pPr>
            <w:r w:rsidRPr="00956CD8">
              <w:rPr>
                <w:rFonts w:cstheme="minorHAnsi"/>
                <w:i/>
                <w:sz w:val="20"/>
                <w:szCs w:val="20"/>
              </w:rPr>
              <w:t xml:space="preserve">Accurate calculations – </w:t>
            </w:r>
          </w:p>
          <w:p w14:paraId="2A4F3267" w14:textId="1ED7669A" w:rsidR="00922FCD" w:rsidRPr="00956CD8" w:rsidRDefault="00922FCD" w:rsidP="00922FC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Items total</w:t>
            </w:r>
          </w:p>
          <w:p w14:paraId="300B2C13" w14:textId="23ADD5B3" w:rsidR="00922FCD" w:rsidRPr="00956CD8" w:rsidRDefault="00922FCD" w:rsidP="00922FC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Tax total</w:t>
            </w:r>
          </w:p>
          <w:p w14:paraId="28F83948" w14:textId="238B1F2F" w:rsidR="00922FCD" w:rsidRPr="00956CD8" w:rsidRDefault="00922FCD" w:rsidP="00922FC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Net total</w:t>
            </w:r>
          </w:p>
          <w:p w14:paraId="4EED0137" w14:textId="55BA5420" w:rsidR="003F24D1" w:rsidRPr="00956CD8" w:rsidRDefault="00922FCD" w:rsidP="00922FC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Decrement</w:t>
            </w:r>
            <w:r w:rsidR="003F24D1" w:rsidRPr="00956CD8">
              <w:rPr>
                <w:rFonts w:cstheme="minorHAnsi"/>
                <w:sz w:val="20"/>
                <w:szCs w:val="20"/>
              </w:rPr>
              <w:t xml:space="preserve"> inventory database according to how many and of which items are sold. </w:t>
            </w:r>
          </w:p>
        </w:tc>
        <w:tc>
          <w:tcPr>
            <w:tcW w:w="3528" w:type="dxa"/>
          </w:tcPr>
          <w:p w14:paraId="7B10C85E" w14:textId="77777777" w:rsidR="00922FCD" w:rsidRPr="00956CD8" w:rsidRDefault="00922FCD" w:rsidP="00B4158F">
            <w:pPr>
              <w:rPr>
                <w:rFonts w:cstheme="minorHAnsi"/>
                <w:sz w:val="20"/>
                <w:szCs w:val="20"/>
              </w:rPr>
            </w:pPr>
          </w:p>
          <w:p w14:paraId="352D4E59" w14:textId="1FF08C71" w:rsidR="00922FCD" w:rsidRPr="00956CD8" w:rsidRDefault="00922FCD" w:rsidP="00B415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24D1" w:rsidRPr="00956CD8" w14:paraId="4B9F4454" w14:textId="2623795C" w:rsidTr="003F24D1">
        <w:tc>
          <w:tcPr>
            <w:tcW w:w="2358" w:type="dxa"/>
          </w:tcPr>
          <w:p w14:paraId="44FE235B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Return transactions </w:t>
            </w:r>
          </w:p>
        </w:tc>
        <w:tc>
          <w:tcPr>
            <w:tcW w:w="3690" w:type="dxa"/>
          </w:tcPr>
          <w:p w14:paraId="649F3ACA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Find the product, view product details page and choose this as a return item. Choose the quantity of items being returned and increment the inventory database accordingly. </w:t>
            </w:r>
          </w:p>
        </w:tc>
        <w:tc>
          <w:tcPr>
            <w:tcW w:w="3528" w:type="dxa"/>
          </w:tcPr>
          <w:p w14:paraId="39F38DC6" w14:textId="77777777" w:rsidR="003F24D1" w:rsidRPr="00956CD8" w:rsidRDefault="003F24D1" w:rsidP="00B4158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24D1" w:rsidRPr="00956CD8" w14:paraId="537FE7C9" w14:textId="4F92A61E" w:rsidTr="003F24D1">
        <w:tc>
          <w:tcPr>
            <w:tcW w:w="2358" w:type="dxa"/>
          </w:tcPr>
          <w:p w14:paraId="380D2867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Applying discounts </w:t>
            </w:r>
          </w:p>
        </w:tc>
        <w:tc>
          <w:tcPr>
            <w:tcW w:w="3690" w:type="dxa"/>
          </w:tcPr>
          <w:p w14:paraId="35BC9D6B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</w:p>
          <w:p w14:paraId="5BE55FB8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</w:p>
          <w:p w14:paraId="1FEFF467" w14:textId="03D9D06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3528" w:type="dxa"/>
          </w:tcPr>
          <w:p w14:paraId="797964A7" w14:textId="77777777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Bulk discounts should only apply if there are a bulk number of items being purchased. Must gather from customer what qualifies a bulk discount. </w:t>
            </w:r>
          </w:p>
          <w:p w14:paraId="35C148E2" w14:textId="77777777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</w:p>
          <w:p w14:paraId="6D01CF44" w14:textId="41174BBC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Only one discount may be applied per transaction. (I.e., you cannot apply faculty transaction on top of a staff transaction). </w:t>
            </w:r>
          </w:p>
          <w:p w14:paraId="5315DAEB" w14:textId="77777777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</w:p>
          <w:p w14:paraId="087C5AE4" w14:textId="7A2885C3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Discounts can be applied by both basic users and managers. </w:t>
            </w:r>
          </w:p>
          <w:p w14:paraId="47FBA7C9" w14:textId="23EE450D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24D1" w:rsidRPr="00956CD8" w14:paraId="7CB9FEEF" w14:textId="1C60B086" w:rsidTr="003F24D1">
        <w:tc>
          <w:tcPr>
            <w:tcW w:w="2358" w:type="dxa"/>
          </w:tcPr>
          <w:p w14:paraId="6CEBF816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Change discount amount</w:t>
            </w:r>
          </w:p>
        </w:tc>
        <w:tc>
          <w:tcPr>
            <w:tcW w:w="3690" w:type="dxa"/>
          </w:tcPr>
          <w:p w14:paraId="33995DAD" w14:textId="7FA08013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Invalid input is accepted</w:t>
            </w:r>
            <w:r w:rsidR="00922FCD" w:rsidRPr="00956CD8">
              <w:rPr>
                <w:rFonts w:cstheme="minorHAnsi"/>
                <w:sz w:val="20"/>
                <w:szCs w:val="20"/>
              </w:rPr>
              <w:t xml:space="preserve"> in this implementation</w:t>
            </w:r>
            <w:r w:rsidRPr="00956CD8">
              <w:rPr>
                <w:rFonts w:cstheme="minorHAnsi"/>
                <w:sz w:val="20"/>
                <w:szCs w:val="20"/>
              </w:rPr>
              <w:t>. 0 &lt; valid &lt; 1.</w:t>
            </w:r>
          </w:p>
          <w:p w14:paraId="599D25A5" w14:textId="27D90012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8" w:type="dxa"/>
          </w:tcPr>
          <w:p w14:paraId="4460CABD" w14:textId="4AE46A36" w:rsidR="003F24D1" w:rsidRPr="00956CD8" w:rsidRDefault="00922FCD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Only managers can change discount percentages.  </w:t>
            </w:r>
          </w:p>
        </w:tc>
      </w:tr>
      <w:tr w:rsidR="00956CD8" w:rsidRPr="00956CD8" w14:paraId="4FCA5D89" w14:textId="77777777" w:rsidTr="003F24D1">
        <w:tc>
          <w:tcPr>
            <w:tcW w:w="2358" w:type="dxa"/>
          </w:tcPr>
          <w:p w14:paraId="7642B79E" w14:textId="4F7751B7" w:rsidR="00956CD8" w:rsidRPr="00956CD8" w:rsidRDefault="00956CD8" w:rsidP="007F71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Creating receipts</w:t>
            </w:r>
          </w:p>
        </w:tc>
        <w:tc>
          <w:tcPr>
            <w:tcW w:w="3690" w:type="dxa"/>
          </w:tcPr>
          <w:p w14:paraId="788B28D3" w14:textId="71990AA9" w:rsidR="00956CD8" w:rsidRPr="00956CD8" w:rsidRDefault="00956CD8" w:rsidP="007F71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Only available via e-mail in this implementation. </w:t>
            </w:r>
            <w:r>
              <w:rPr>
                <w:rFonts w:cstheme="minorHAnsi"/>
                <w:b/>
                <w:sz w:val="20"/>
                <w:szCs w:val="20"/>
                <w:u w:val="single"/>
              </w:rPr>
              <w:t>Solution to implement:</w:t>
            </w:r>
            <w:r>
              <w:rPr>
                <w:rFonts w:cstheme="minorHAnsi"/>
                <w:sz w:val="20"/>
                <w:szCs w:val="20"/>
              </w:rPr>
              <w:t xml:space="preserve"> A transaction record accessed from an on-going database would count as a file</w:t>
            </w:r>
            <w:r w:rsidR="00874951">
              <w:rPr>
                <w:rFonts w:cstheme="minorHAnsi"/>
                <w:sz w:val="20"/>
                <w:szCs w:val="20"/>
              </w:rPr>
              <w:t>. Creating such a database and populating it with</w:t>
            </w:r>
            <w:r>
              <w:rPr>
                <w:rFonts w:cstheme="minorHAnsi"/>
                <w:sz w:val="20"/>
                <w:szCs w:val="20"/>
              </w:rPr>
              <w:t xml:space="preserve"> transaction object</w:t>
            </w:r>
            <w:r w:rsidR="00874951">
              <w:rPr>
                <w:rFonts w:cstheme="minorHAnsi"/>
                <w:sz w:val="20"/>
                <w:szCs w:val="20"/>
              </w:rPr>
              <w:t>s as transactions occur</w:t>
            </w:r>
            <w:r>
              <w:rPr>
                <w:rFonts w:cstheme="minorHAnsi"/>
                <w:sz w:val="20"/>
                <w:szCs w:val="20"/>
              </w:rPr>
              <w:t xml:space="preserve"> would make handling this fault easier. </w:t>
            </w:r>
            <w:bookmarkStart w:id="0" w:name="_GoBack"/>
            <w:bookmarkEnd w:id="0"/>
          </w:p>
        </w:tc>
        <w:tc>
          <w:tcPr>
            <w:tcW w:w="3528" w:type="dxa"/>
          </w:tcPr>
          <w:p w14:paraId="0DAA0D3C" w14:textId="3772DA8F" w:rsidR="00956CD8" w:rsidRPr="00956CD8" w:rsidRDefault="00956CD8" w:rsidP="00956C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Specifications call for receipts to be outputted to a file. </w:t>
            </w:r>
          </w:p>
        </w:tc>
      </w:tr>
      <w:tr w:rsidR="003F24D1" w:rsidRPr="00956CD8" w14:paraId="36024783" w14:textId="504E8821" w:rsidTr="003F24D1">
        <w:tc>
          <w:tcPr>
            <w:tcW w:w="2358" w:type="dxa"/>
          </w:tcPr>
          <w:p w14:paraId="0676086B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3690" w:type="dxa"/>
          </w:tcPr>
          <w:p w14:paraId="792DB26E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Wrong format</w:t>
            </w:r>
            <w:r w:rsidR="00922FCD" w:rsidRPr="00956CD8">
              <w:rPr>
                <w:rFonts w:cstheme="minorHAnsi"/>
                <w:sz w:val="20"/>
                <w:szCs w:val="20"/>
              </w:rPr>
              <w:t xml:space="preserve"> or information</w:t>
            </w:r>
          </w:p>
          <w:p w14:paraId="12DCC3E5" w14:textId="0B959B6E" w:rsidR="00922FCD" w:rsidRPr="00956CD8" w:rsidRDefault="00922FCD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Out of date information</w:t>
            </w:r>
          </w:p>
          <w:p w14:paraId="0578919F" w14:textId="5AED8478" w:rsidR="00922FCD" w:rsidRPr="00956CD8" w:rsidRDefault="003F24D1" w:rsidP="006D263B">
            <w:pPr>
              <w:tabs>
                <w:tab w:val="left" w:pos="1860"/>
              </w:tabs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Unclear format</w:t>
            </w:r>
            <w:r w:rsidR="006D263B" w:rsidRPr="00956CD8">
              <w:rPr>
                <w:rFonts w:cstheme="minorHAnsi"/>
                <w:sz w:val="20"/>
                <w:szCs w:val="20"/>
              </w:rPr>
              <w:tab/>
            </w:r>
          </w:p>
          <w:p w14:paraId="69E29F33" w14:textId="7D773F40" w:rsidR="003F24D1" w:rsidRPr="00956CD8" w:rsidRDefault="003F24D1" w:rsidP="00922FCD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Missing information</w:t>
            </w:r>
          </w:p>
        </w:tc>
        <w:tc>
          <w:tcPr>
            <w:tcW w:w="3528" w:type="dxa"/>
          </w:tcPr>
          <w:p w14:paraId="6FC94129" w14:textId="77777777" w:rsidR="003F24D1" w:rsidRPr="00956CD8" w:rsidRDefault="003F24D1" w:rsidP="007F71B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22FCD" w:rsidRPr="00956CD8" w14:paraId="33BCD803" w14:textId="77777777" w:rsidTr="003F24D1">
        <w:tc>
          <w:tcPr>
            <w:tcW w:w="2358" w:type="dxa"/>
          </w:tcPr>
          <w:p w14:paraId="1F6C94A2" w14:textId="6EB7CB38" w:rsidR="00922FCD" w:rsidRPr="00956CD8" w:rsidRDefault="00922FCD" w:rsidP="007F71BB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90" w:type="dxa"/>
          </w:tcPr>
          <w:p w14:paraId="238ED8EE" w14:textId="332EA08F" w:rsidR="00922FCD" w:rsidRPr="00956CD8" w:rsidRDefault="00922FCD" w:rsidP="00922FCD">
            <w:pPr>
              <w:rPr>
                <w:rFonts w:cstheme="minorHAnsi"/>
                <w:sz w:val="20"/>
                <w:szCs w:val="20"/>
              </w:rPr>
            </w:pPr>
            <w:r w:rsidRPr="00956CD8">
              <w:rPr>
                <w:rFonts w:cstheme="minorHAnsi"/>
                <w:sz w:val="20"/>
                <w:szCs w:val="20"/>
              </w:rPr>
              <w:t xml:space="preserve">Very limited input validation is included in this implementation. </w:t>
            </w:r>
          </w:p>
        </w:tc>
        <w:tc>
          <w:tcPr>
            <w:tcW w:w="3528" w:type="dxa"/>
          </w:tcPr>
          <w:p w14:paraId="3A24E047" w14:textId="77777777" w:rsidR="00922FCD" w:rsidRPr="00956CD8" w:rsidRDefault="00922FCD" w:rsidP="007F71B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7E3A38" w14:textId="3A53E509" w:rsidR="00B4158F" w:rsidRPr="00B4158F" w:rsidRDefault="00B4158F" w:rsidP="00B4158F"/>
    <w:sectPr w:rsidR="00B4158F" w:rsidRPr="00B4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7413"/>
    <w:multiLevelType w:val="hybridMultilevel"/>
    <w:tmpl w:val="8FCE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8F"/>
    <w:rsid w:val="00033D71"/>
    <w:rsid w:val="0012590E"/>
    <w:rsid w:val="00276717"/>
    <w:rsid w:val="00355870"/>
    <w:rsid w:val="003716E3"/>
    <w:rsid w:val="003F24D1"/>
    <w:rsid w:val="004D34ED"/>
    <w:rsid w:val="006D263B"/>
    <w:rsid w:val="007A300F"/>
    <w:rsid w:val="00874951"/>
    <w:rsid w:val="00922FCD"/>
    <w:rsid w:val="00956CD8"/>
    <w:rsid w:val="00965E87"/>
    <w:rsid w:val="00967BF1"/>
    <w:rsid w:val="009E5357"/>
    <w:rsid w:val="00A25190"/>
    <w:rsid w:val="00A733DE"/>
    <w:rsid w:val="00B4158F"/>
    <w:rsid w:val="00C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5A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58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58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58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58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</dc:creator>
  <cp:lastModifiedBy>Griffin</cp:lastModifiedBy>
  <cp:revision>11</cp:revision>
  <dcterms:created xsi:type="dcterms:W3CDTF">2012-10-09T00:16:00Z</dcterms:created>
  <dcterms:modified xsi:type="dcterms:W3CDTF">2012-10-12T09:55:00Z</dcterms:modified>
</cp:coreProperties>
</file>