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SCLC_5</w:t>
        <w:br/>
      </w:r>
      <w:r>
        <w:rPr>
          <w:b/>
        </w:rPr>
        <w:t xml:space="preserve">Date </w:t>
        <w:tab/>
        <w:tab/>
        <w:tab/>
        <w:tab/>
      </w:r>
      <w:r>
        <w:t>Mon, Mar 18, 2019</w:t>
        <w:br/>
      </w:r>
      <w:r>
        <w:rPr>
          <w:b/>
        </w:rPr>
        <w:t xml:space="preserve">Time Processed </w:t>
        <w:tab/>
        <w:tab/>
      </w:r>
      <w:r>
        <w:t>02:58:54 PM</w:t>
      </w:r>
    </w:p>
    <w:p>
      <w:pPr>
        <w:pStyle w:val="Heading1"/>
      </w:pPr>
      <w:r>
        <w:t>Clinical Variant #1</w:t>
      </w:r>
    </w:p>
    <w:p>
      <w:r>
        <w:rPr>
          <w:b/>
        </w:rPr>
        <w:t>Gene Name</w:t>
        <w:tab/>
        <w:tab/>
        <w:tab/>
      </w:r>
      <w:r>
        <w:t>PTEN</w:t>
        <w:br/>
      </w:r>
      <w:r>
        <w:rPr>
          <w:b/>
        </w:rPr>
        <w:t>Protein Change</w:t>
        <w:tab/>
        <w:tab/>
      </w:r>
      <w:r>
        <w:t>R233*</w:t>
        <w:br/>
      </w:r>
      <w:r>
        <w:rPr>
          <w:b/>
        </w:rPr>
        <w:t>Coordinates</w:t>
        <w:tab/>
        <w:tab/>
        <w:tab/>
      </w:r>
      <w:r>
        <w:t>chr10:g.89717672C&gt;T</w:t>
        <w:br/>
      </w:r>
      <w:r>
        <w:rPr>
          <w:b/>
        </w:rPr>
        <w:t>ENST ID</w:t>
        <w:tab/>
        <w:tab/>
        <w:tab/>
      </w:r>
      <w:r>
        <w:t>ENST00000371953</w:t>
        <w:br/>
      </w:r>
      <w:r>
        <w:rPr>
          <w:b/>
        </w:rPr>
        <w:t>ENSG ID</w:t>
        <w:tab/>
        <w:tab/>
        <w:tab/>
      </w:r>
      <w:r>
        <w:t>ENSG00000171862</w:t>
      </w:r>
    </w:p>
    <w:p>
      <w:pPr>
        <w:pStyle w:val="Heading3"/>
      </w:pPr>
      <w:r>
        <w:t xml:space="preserve">Variant Description: </w:t>
      </w:r>
    </w:p>
    <w:p>
      <w:r>
        <w:t>PTEN R233* has been shown to be a loss of function mutation, and PTEN loss has been the subject of considerable research in breast cancer. PTEN loss may sensitize cells to PI3K-mTOR inhibition. While still being debated, there is data to support that PTEN loss is both associated with poorer prognosis, and no change in prognosis.</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PTEN R233* Does Not Support Poor Outcome for patients with Glioblastoma Multiforme</w:t>
            </w:r>
          </w:p>
        </w:tc>
        <w:tc>
          <w:tcPr>
            <w:tcW w:type="dxa" w:w="2160"/>
          </w:tcPr>
          <w:p>
            <w:r>
              <w:t>EID343</w:t>
            </w:r>
          </w:p>
        </w:tc>
        <w:tc>
          <w:tcPr>
            <w:tcW w:type="dxa" w:w="2160"/>
          </w:tcPr>
          <w:p>
            <w:r>
              <w:t>22479427</w:t>
            </w:r>
          </w:p>
        </w:tc>
      </w:tr>
    </w:tbl>
    <w:p>
      <w:pPr>
        <w:pStyle w:val="Heading1"/>
      </w:pPr>
      <w:r>
        <w:t>Clinical Variant #2</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w:t>
        <w:br/>
      </w:r>
      <w:r>
        <w:rPr>
          <w:b/>
        </w:rPr>
        <w:t>ENSG ID</w:t>
        <w:tab/>
        <w:tab/>
        <w:tab/>
      </w:r>
      <w:r>
        <w:t>ENSG00000146648</w:t>
      </w:r>
    </w:p>
    <w:p>
      <w:pPr>
        <w:pStyle w:val="Heading3"/>
      </w:pPr>
      <w:r>
        <w:t xml:space="preserve">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EGFR L858R Supports Sensitivity/Response to Gefitinib or Erlotinib for patients with Non-small Cell Lung Carcinoma</w:t>
            </w:r>
          </w:p>
        </w:tc>
        <w:tc>
          <w:tcPr>
            <w:tcW w:type="dxa" w:w="2160"/>
          </w:tcPr>
          <w:p>
            <w:r>
              <w:t>EID229, EID275</w:t>
            </w:r>
          </w:p>
        </w:tc>
        <w:tc>
          <w:tcPr>
            <w:tcW w:type="dxa" w:w="2160"/>
          </w:tcPr>
          <w:p>
            <w:r>
              <w:t>24736073, 24457318</w:t>
            </w:r>
          </w:p>
        </w:tc>
      </w:tr>
      <w:tr>
        <w:tc>
          <w:tcPr>
            <w:tcW w:type="dxa" w:w="6480"/>
          </w:tcPr>
          <w:p>
            <w:r>
              <w:t>EGFR L858R Supports Sensitivity/Response to Afatinib for patients with Lung Adenocarcinoma</w:t>
            </w:r>
          </w:p>
        </w:tc>
        <w:tc>
          <w:tcPr>
            <w:tcW w:type="dxa" w:w="2160"/>
          </w:tcPr>
          <w:p>
            <w:r>
              <w:t>EID879, EID883, EID982</w:t>
            </w:r>
          </w:p>
        </w:tc>
        <w:tc>
          <w:tcPr>
            <w:tcW w:type="dxa" w:w="2160"/>
          </w:tcPr>
          <w:p>
            <w:r>
              <w:t>23816960, 22452895, 24439929</w:t>
            </w:r>
          </w:p>
        </w:tc>
      </w:tr>
      <w:tr>
        <w:tc>
          <w:tcPr>
            <w:tcW w:type="dxa" w:w="6480"/>
          </w:tcPr>
          <w:p>
            <w:r>
              <w:t>EGFR L858R Supports Sensitivity/Response to Erlotinib for patients with Non-small Cell Lung Carcinoma</w:t>
            </w:r>
          </w:p>
        </w:tc>
        <w:tc>
          <w:tcPr>
            <w:tcW w:type="dxa" w:w="2160"/>
          </w:tcPr>
          <w:p>
            <w:r>
              <w:t>EID885, EID2994, EID2632</w:t>
            </w:r>
          </w:p>
        </w:tc>
        <w:tc>
          <w:tcPr>
            <w:tcW w:type="dxa" w:w="2160"/>
          </w:tcPr>
          <w:p>
            <w:r>
              <w:t>22285168, 24868098, 15329413</w:t>
            </w:r>
          </w:p>
        </w:tc>
      </w:tr>
      <w:tr>
        <w:tc>
          <w:tcPr>
            <w:tcW w:type="dxa" w:w="6480"/>
          </w:tcPr>
          <w:p>
            <w:r>
              <w:t>EGFR L858R Supports Sensitivity/Response to Gefitinib for patients with Non-small Cell Lung Carcinoma</w:t>
            </w:r>
          </w:p>
        </w:tc>
        <w:tc>
          <w:tcPr>
            <w:tcW w:type="dxa" w:w="2160"/>
          </w:tcPr>
          <w:p>
            <w:r>
              <w:t>EID1665, EID2621</w:t>
            </w:r>
          </w:p>
        </w:tc>
        <w:tc>
          <w:tcPr>
            <w:tcW w:type="dxa" w:w="2160"/>
          </w:tcPr>
          <w:p>
            <w:r>
              <w:t>18509184, 20038723</w:t>
            </w:r>
          </w:p>
        </w:tc>
      </w:tr>
      <w:tr>
        <w:tc>
          <w:tcPr>
            <w:tcW w:type="dxa" w:w="6480"/>
          </w:tcPr>
          <w:p>
            <w:r>
              <w:t>EGFR L858R Supports Sensitivity/Response to Gefitinib for patients with Lung Adenocarcinoma</w:t>
            </w:r>
          </w:p>
        </w:tc>
        <w:tc>
          <w:tcPr>
            <w:tcW w:type="dxa" w:w="2160"/>
          </w:tcPr>
          <w:p>
            <w:r>
              <w:t>EID2624, EID2634</w:t>
            </w:r>
          </w:p>
        </w:tc>
        <w:tc>
          <w:tcPr>
            <w:tcW w:type="dxa" w:w="2160"/>
          </w:tcPr>
          <w:p>
            <w:r>
              <w:t>15329413, 22370314</w:t>
            </w:r>
          </w:p>
        </w:tc>
      </w:tr>
      <w:tr>
        <w:tc>
          <w:tcPr>
            <w:tcW w:type="dxa" w:w="6480"/>
          </w:tcPr>
          <w:p>
            <w:r>
              <w:t>EGFR L858R Supports Resistance to Crizotinib for patients with Non-small Cell Lung Carcinoma</w:t>
            </w:r>
          </w:p>
        </w:tc>
        <w:tc>
          <w:tcPr>
            <w:tcW w:type="dxa" w:w="2160"/>
          </w:tcPr>
          <w:p>
            <w:r>
              <w:t>EID4288</w:t>
            </w:r>
          </w:p>
        </w:tc>
        <w:tc>
          <w:tcPr>
            <w:tcW w:type="dxa" w:w="2160"/>
          </w:tcPr>
          <w:p>
            <w:r>
              <w:t>22235099</w:t>
            </w:r>
          </w:p>
        </w:tc>
      </w:tr>
      <w:tr>
        <w:tc>
          <w:tcPr>
            <w:tcW w:type="dxa" w:w="6480"/>
          </w:tcPr>
          <w:p>
            <w:r>
              <w:t>EGFR L858R Supports Sensitivity/Response to Erlotinib for patients with Lung Adenocarcinoma</w:t>
            </w:r>
          </w:p>
        </w:tc>
        <w:tc>
          <w:tcPr>
            <w:tcW w:type="dxa" w:w="2160"/>
          </w:tcPr>
          <w:p>
            <w:r>
              <w:t>EID4290</w:t>
            </w:r>
          </w:p>
        </w:tc>
        <w:tc>
          <w:tcPr>
            <w:tcW w:type="dxa" w:w="2160"/>
          </w:tcPr>
          <w:p>
            <w:r>
              <w:t>27032107</w:t>
            </w:r>
          </w:p>
        </w:tc>
      </w:tr>
      <w:tr>
        <w:tc>
          <w:tcPr>
            <w:tcW w:type="dxa" w:w="6480"/>
          </w:tcPr>
          <w:p>
            <w:r>
              <w:t>EGFR L858R Supports Sensitivity/Response to Afatinib for patients with Non-small Cell Lung Carcinoma</w:t>
            </w:r>
          </w:p>
        </w:tc>
        <w:tc>
          <w:tcPr>
            <w:tcW w:type="dxa" w:w="2160"/>
          </w:tcPr>
          <w:p>
            <w:r>
              <w:t>EID2997</w:t>
            </w:r>
          </w:p>
        </w:tc>
        <w:tc>
          <w:tcPr>
            <w:tcW w:type="dxa" w:w="2160"/>
          </w:tcPr>
          <w:p>
            <w:r>
              <w:t>23982599</w:t>
            </w:r>
          </w:p>
        </w:tc>
      </w:tr>
      <w:tr>
        <w:tc>
          <w:tcPr>
            <w:tcW w:type="dxa" w:w="6480"/>
          </w:tcPr>
          <w:p>
            <w:r>
              <w:t>EGFR L858R Supports Sensitivity/Response to Dacomitinib for patients with Non-small Cell Lung Carcinoma</w:t>
            </w:r>
          </w:p>
        </w:tc>
        <w:tc>
          <w:tcPr>
            <w:tcW w:type="dxa" w:w="2160"/>
          </w:tcPr>
          <w:p>
            <w:r>
              <w:t>EID4860</w:t>
            </w:r>
          </w:p>
        </w:tc>
        <w:tc>
          <w:tcPr>
            <w:tcW w:type="dxa" w:w="2160"/>
          </w:tcPr>
          <w:p>
            <w:r>
              <w:t>26768165</w:t>
            </w:r>
          </w:p>
        </w:tc>
      </w:tr>
      <w:tr>
        <w:tc>
          <w:tcPr>
            <w:tcW w:type="dxa" w:w="6480"/>
          </w:tcPr>
          <w:p>
            <w:r>
              <w:t>EGFR L858R Does Not Support Reduced Sensitivity to Gefitinib for patients with Lung Adenocarcinoma</w:t>
            </w:r>
          </w:p>
        </w:tc>
        <w:tc>
          <w:tcPr>
            <w:tcW w:type="dxa" w:w="2160"/>
          </w:tcPr>
          <w:p>
            <w:r>
              <w:t>EID6183</w:t>
            </w:r>
          </w:p>
        </w:tc>
        <w:tc>
          <w:tcPr>
            <w:tcW w:type="dxa" w:w="2160"/>
          </w:tcPr>
          <w:p>
            <w:r>
              <w:t>27022112</w:t>
            </w:r>
          </w:p>
        </w:tc>
      </w:tr>
      <w:tr>
        <w:tc>
          <w:tcPr>
            <w:tcW w:type="dxa" w:w="6480"/>
          </w:tcPr>
          <w:p>
            <w:r>
              <w:t>EGFR L858R Supports Better Outcome for patients with Non-small Cell Lung Carcinoma</w:t>
            </w:r>
          </w:p>
        </w:tc>
        <w:tc>
          <w:tcPr>
            <w:tcW w:type="dxa" w:w="2160"/>
          </w:tcPr>
          <w:p>
            <w:r>
              <w:t>EID347</w:t>
            </w:r>
          </w:p>
        </w:tc>
        <w:tc>
          <w:tcPr>
            <w:tcW w:type="dxa" w:w="2160"/>
          </w:tcPr>
          <w:p>
            <w:r>
              <w:t>24662454</w:t>
            </w:r>
          </w:p>
        </w:tc>
      </w:tr>
    </w:tbl>
    <w:p>
      <w:pPr>
        <w:pStyle w:val="Heading1"/>
      </w:pPr>
      <w:r>
        <w:t>Processing information</w:t>
      </w:r>
    </w:p>
    <w:p>
      <w:r>
        <w:rPr>
          <w:b/>
        </w:rPr>
        <w:t xml:space="preserve">Variants Processed: </w:t>
      </w:r>
      <w:r>
        <w:t>3</w:t>
        <w:br/>
      </w:r>
      <w:r>
        <w:rPr>
          <w:b/>
        </w:rPr>
        <w:t xml:space="preserve">Clinical Annotations: </w:t>
      </w:r>
      <w:r>
        <w:t>2</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