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F1E" w:rsidRDefault="00251D39">
      <w:r>
        <w:rPr>
          <w:noProof/>
        </w:rPr>
        <w:drawing>
          <wp:inline distT="0" distB="0" distL="0" distR="0">
            <wp:extent cx="5486400" cy="882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head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1E" w:rsidRDefault="00251D39">
      <w:pPr>
        <w:pStyle w:val="Title"/>
      </w:pPr>
      <w:r>
        <w:t>SOMATIC VARIANT ANNOTATION</w:t>
      </w:r>
    </w:p>
    <w:p w:rsidR="002D4F1E" w:rsidRDefault="00251D39">
      <w:r>
        <w:rPr>
          <w:b/>
        </w:rPr>
        <w:t>Sample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SCLC_hyperlinks</w:t>
      </w:r>
      <w:bookmarkStart w:id="0" w:name="_GoBack"/>
      <w:bookmarkEnd w:id="0"/>
      <w:r>
        <w:br/>
      </w:r>
      <w:r>
        <w:rPr>
          <w:b/>
        </w:rPr>
        <w:t xml:space="preserve">Date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Thu, Apr 18, 2019</w:t>
      </w:r>
      <w:r>
        <w:br/>
      </w:r>
      <w:r>
        <w:rPr>
          <w:b/>
        </w:rPr>
        <w:t xml:space="preserve">Time Processed </w:t>
      </w:r>
      <w:r>
        <w:rPr>
          <w:b/>
        </w:rPr>
        <w:tab/>
      </w:r>
      <w:r>
        <w:rPr>
          <w:b/>
        </w:rPr>
        <w:tab/>
      </w:r>
      <w:r>
        <w:t>11:42:17 AM</w:t>
      </w:r>
    </w:p>
    <w:p w:rsidR="002D4F1E" w:rsidRDefault="00251D39">
      <w:pPr>
        <w:pStyle w:val="Heading1"/>
      </w:pPr>
      <w:r>
        <w:t>Clinical Variant #1</w:t>
      </w:r>
    </w:p>
    <w:p w:rsidR="002D4F1E" w:rsidRDefault="00251D39">
      <w:r>
        <w:rPr>
          <w:b/>
        </w:rPr>
        <w:t>Gene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MTHFR</w:t>
      </w:r>
      <w:r>
        <w:br/>
      </w:r>
      <w:r>
        <w:rPr>
          <w:b/>
        </w:rPr>
        <w:t>Protein Change</w:t>
      </w:r>
      <w:r>
        <w:rPr>
          <w:b/>
        </w:rPr>
        <w:tab/>
      </w:r>
      <w:r>
        <w:rPr>
          <w:b/>
        </w:rPr>
        <w:tab/>
      </w:r>
      <w:r>
        <w:t>A222V</w:t>
      </w:r>
      <w:r>
        <w:br/>
      </w:r>
      <w:r>
        <w:rPr>
          <w:b/>
        </w:rPr>
        <w:t>Coordinates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chr1:g.11856378G&gt;A</w:t>
      </w:r>
      <w:r>
        <w:br/>
      </w:r>
      <w:r>
        <w:rPr>
          <w:b/>
        </w:rPr>
        <w:t>ENST 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ENST00000376592.1</w:t>
      </w:r>
      <w:r>
        <w:br/>
      </w:r>
    </w:p>
    <w:p w:rsidR="002D4F1E" w:rsidRDefault="00251D39">
      <w:pPr>
        <w:pStyle w:val="Heading3"/>
      </w:pPr>
      <w:r>
        <w:t xml:space="preserve">Variant Description: </w:t>
      </w:r>
    </w:p>
    <w:p w:rsidR="002D4F1E" w:rsidRDefault="00251D39">
      <w:r>
        <w:t>N/A</w:t>
      </w:r>
    </w:p>
    <w:p w:rsidR="002D4F1E" w:rsidRDefault="00251D39">
      <w:pPr>
        <w:pStyle w:val="Heading3"/>
      </w:pPr>
      <w:r>
        <w:t>Associated Assertions:</w:t>
      </w:r>
    </w:p>
    <w:p w:rsidR="002D4F1E" w:rsidRDefault="00251D39">
      <w:r>
        <w:t>N/A</w:t>
      </w:r>
    </w:p>
    <w:p w:rsidR="002D4F1E" w:rsidRDefault="00251D39">
      <w:pPr>
        <w:pStyle w:val="Heading3"/>
      </w:pPr>
      <w:r>
        <w:t>Associated Evidence Items:</w:t>
      </w:r>
    </w:p>
    <w:p w:rsidR="002D4F1E" w:rsidRDefault="00251D39">
      <w:r>
        <w:rPr>
          <w:b/>
        </w:rPr>
        <w:t xml:space="preserve">Description: </w:t>
      </w:r>
      <w:r>
        <w:t>MTHFR A222V Supports Better Outcome for patients with Pancreatic Cancer</w:t>
      </w:r>
    </w:p>
    <w:p w:rsidR="002D4F1E" w:rsidRDefault="00251D39">
      <w:pPr>
        <w:pStyle w:val="ListBullet"/>
      </w:pPr>
      <w:r>
        <w:rPr>
          <w:b/>
        </w:rPr>
        <w:t xml:space="preserve">CIViC EID(s): </w:t>
      </w:r>
      <w:hyperlink r:id="rId7">
        <w:r>
          <w:rPr>
            <w:color w:val="0000FF" w:themeColor="hyperlink"/>
            <w:u w:val="single"/>
          </w:rPr>
          <w:t>EID17</w:t>
        </w:r>
        <w:r>
          <w:rPr>
            <w:color w:val="0000FF" w:themeColor="hyperlink"/>
            <w:u w:val="single"/>
          </w:rPr>
          <w:t>56</w:t>
        </w:r>
      </w:hyperlink>
    </w:p>
    <w:p w:rsidR="002D4F1E" w:rsidRDefault="00251D39">
      <w:pPr>
        <w:pStyle w:val="ListBullet"/>
      </w:pPr>
      <w:r>
        <w:rPr>
          <w:b/>
        </w:rPr>
        <w:t xml:space="preserve">PubMed ID(s): </w:t>
      </w:r>
      <w:hyperlink r:id="rId8">
        <w:r>
          <w:rPr>
            <w:color w:val="0000FF" w:themeColor="hyperlink"/>
            <w:u w:val="single"/>
          </w:rPr>
          <w:t>27819322</w:t>
        </w:r>
      </w:hyperlink>
    </w:p>
    <w:p w:rsidR="002D4F1E" w:rsidRDefault="00251D39">
      <w:pPr>
        <w:pStyle w:val="Heading1"/>
      </w:pPr>
      <w:r>
        <w:t>Clinical Variant #2</w:t>
      </w:r>
    </w:p>
    <w:p w:rsidR="002D4F1E" w:rsidRDefault="00251D39">
      <w:r>
        <w:rPr>
          <w:b/>
        </w:rPr>
        <w:t>Gene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FCGR2A</w:t>
      </w:r>
      <w:r>
        <w:br/>
      </w:r>
      <w:r>
        <w:rPr>
          <w:b/>
        </w:rPr>
        <w:t>Protein Change</w:t>
      </w:r>
      <w:r>
        <w:rPr>
          <w:b/>
        </w:rPr>
        <w:tab/>
      </w:r>
      <w:r>
        <w:rPr>
          <w:b/>
        </w:rPr>
        <w:tab/>
      </w:r>
      <w:r>
        <w:t>H167R</w:t>
      </w:r>
      <w:r>
        <w:br/>
      </w:r>
      <w:r>
        <w:rPr>
          <w:b/>
        </w:rPr>
        <w:t>Coordinates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chr1:g.161479745A&gt;G</w:t>
      </w:r>
      <w:r>
        <w:br/>
      </w:r>
      <w:r>
        <w:rPr>
          <w:b/>
        </w:rPr>
        <w:t>ENST 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ENST00000271450.6</w:t>
      </w:r>
      <w:r>
        <w:br/>
      </w:r>
    </w:p>
    <w:p w:rsidR="002D4F1E" w:rsidRDefault="00251D39">
      <w:pPr>
        <w:pStyle w:val="Heading3"/>
      </w:pPr>
      <w:r>
        <w:t xml:space="preserve">Variant Description: </w:t>
      </w:r>
    </w:p>
    <w:p w:rsidR="002D4F1E" w:rsidRDefault="00251D39">
      <w:r>
        <w:t>N/A</w:t>
      </w:r>
    </w:p>
    <w:p w:rsidR="002D4F1E" w:rsidRDefault="00251D39">
      <w:pPr>
        <w:pStyle w:val="Heading3"/>
      </w:pPr>
      <w:r>
        <w:t>Associated Asser</w:t>
      </w:r>
      <w:r>
        <w:t>tions:</w:t>
      </w:r>
    </w:p>
    <w:p w:rsidR="002D4F1E" w:rsidRDefault="00251D39">
      <w:r>
        <w:t>N/A</w:t>
      </w:r>
    </w:p>
    <w:p w:rsidR="002D4F1E" w:rsidRDefault="00251D39">
      <w:pPr>
        <w:pStyle w:val="Heading3"/>
      </w:pPr>
      <w:r>
        <w:t>Associated Evidence Items:</w:t>
      </w:r>
    </w:p>
    <w:p w:rsidR="002D4F1E" w:rsidRDefault="00251D39">
      <w:r>
        <w:rPr>
          <w:b/>
        </w:rPr>
        <w:t xml:space="preserve">Description: </w:t>
      </w:r>
      <w:r>
        <w:t>FCGR2A H167R Does Not Support N/A for patients with Breast Cancer</w:t>
      </w:r>
    </w:p>
    <w:p w:rsidR="002D4F1E" w:rsidRDefault="00251D39">
      <w:pPr>
        <w:pStyle w:val="ListBullet"/>
      </w:pPr>
      <w:r>
        <w:rPr>
          <w:b/>
        </w:rPr>
        <w:t xml:space="preserve">CIViC EID(s): </w:t>
      </w:r>
      <w:hyperlink r:id="rId9">
        <w:r>
          <w:rPr>
            <w:color w:val="0000FF" w:themeColor="hyperlink"/>
            <w:u w:val="single"/>
          </w:rPr>
          <w:t>EID1088</w:t>
        </w:r>
      </w:hyperlink>
      <w:r>
        <w:t xml:space="preserve">, </w:t>
      </w:r>
      <w:hyperlink r:id="rId10">
        <w:r>
          <w:rPr>
            <w:color w:val="0000FF" w:themeColor="hyperlink"/>
            <w:u w:val="single"/>
          </w:rPr>
          <w:t>EID1084</w:t>
        </w:r>
      </w:hyperlink>
    </w:p>
    <w:p w:rsidR="002D4F1E" w:rsidRDefault="00251D39">
      <w:pPr>
        <w:pStyle w:val="ListBullet"/>
      </w:pPr>
      <w:r>
        <w:rPr>
          <w:b/>
        </w:rPr>
        <w:lastRenderedPageBreak/>
        <w:t xml:space="preserve">PubMed ID(s): </w:t>
      </w:r>
      <w:hyperlink r:id="rId11">
        <w:r>
          <w:rPr>
            <w:color w:val="0000FF" w:themeColor="hyperlink"/>
            <w:u w:val="single"/>
          </w:rPr>
          <w:t>24989892</w:t>
        </w:r>
      </w:hyperlink>
      <w:r>
        <w:t xml:space="preserve">, </w:t>
      </w:r>
      <w:hyperlink r:id="rId12">
        <w:r>
          <w:rPr>
            <w:color w:val="0000FF" w:themeColor="hyperlink"/>
            <w:u w:val="single"/>
          </w:rPr>
          <w:t>22906996</w:t>
        </w:r>
      </w:hyperlink>
    </w:p>
    <w:p w:rsidR="002D4F1E" w:rsidRDefault="00251D39">
      <w:pPr>
        <w:pStyle w:val="Heading1"/>
      </w:pPr>
      <w:r>
        <w:t>Clinical Variant #3</w:t>
      </w:r>
    </w:p>
    <w:p w:rsidR="002D4F1E" w:rsidRDefault="00251D39">
      <w:r>
        <w:rPr>
          <w:b/>
        </w:rPr>
        <w:t>Gene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FLT3</w:t>
      </w:r>
      <w:r>
        <w:br/>
      </w:r>
      <w:r>
        <w:rPr>
          <w:b/>
        </w:rPr>
        <w:t>Protein Change</w:t>
      </w:r>
      <w:r>
        <w:rPr>
          <w:b/>
        </w:rPr>
        <w:tab/>
      </w:r>
      <w:r>
        <w:rPr>
          <w:b/>
        </w:rPr>
        <w:tab/>
      </w:r>
      <w:r>
        <w:t>T227M</w:t>
      </w:r>
      <w:r>
        <w:br/>
      </w:r>
      <w:r>
        <w:rPr>
          <w:b/>
        </w:rPr>
        <w:t>Coordinates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chr13:g.28624294G&gt;A</w:t>
      </w:r>
      <w:r>
        <w:br/>
      </w:r>
      <w:r>
        <w:rPr>
          <w:b/>
        </w:rPr>
        <w:t>ENST 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ENST00000241453.7</w:t>
      </w:r>
      <w:r>
        <w:br/>
      </w:r>
    </w:p>
    <w:p w:rsidR="002D4F1E" w:rsidRDefault="00251D39">
      <w:pPr>
        <w:pStyle w:val="Heading3"/>
      </w:pPr>
      <w:r>
        <w:t xml:space="preserve">Variant Description: </w:t>
      </w:r>
    </w:p>
    <w:p w:rsidR="002D4F1E" w:rsidRDefault="00251D39">
      <w:r>
        <w:t>FLT3 T227M (rs1933437) is a common polymorphism with a GMAF around .60 based on the Exome Aggregation Consortium (ExAC) data. Its role in cancer predisposition is st</w:t>
      </w:r>
      <w:r>
        <w:t>ill unknown, however it may be associated with the development of leukopenia in patients treated with sunitinib.</w:t>
      </w:r>
    </w:p>
    <w:p w:rsidR="002D4F1E" w:rsidRDefault="00251D39">
      <w:pPr>
        <w:pStyle w:val="Heading3"/>
      </w:pPr>
      <w:r>
        <w:t>Associated Assertions:</w:t>
      </w:r>
    </w:p>
    <w:p w:rsidR="002D4F1E" w:rsidRDefault="00251D39">
      <w:r>
        <w:t>N/A</w:t>
      </w:r>
    </w:p>
    <w:p w:rsidR="002D4F1E" w:rsidRDefault="00251D39">
      <w:pPr>
        <w:pStyle w:val="Heading3"/>
      </w:pPr>
      <w:r>
        <w:t>Associated Evidence Items:</w:t>
      </w:r>
    </w:p>
    <w:p w:rsidR="002D4F1E" w:rsidRDefault="00251D39">
      <w:pPr>
        <w:pStyle w:val="Heading1"/>
      </w:pPr>
      <w:r>
        <w:t>Clinical Variant #4</w:t>
      </w:r>
    </w:p>
    <w:p w:rsidR="002D4F1E" w:rsidRDefault="00251D39">
      <w:r>
        <w:rPr>
          <w:b/>
        </w:rPr>
        <w:t>Gene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TP53</w:t>
      </w:r>
      <w:r>
        <w:br/>
      </w:r>
      <w:r>
        <w:rPr>
          <w:b/>
        </w:rPr>
        <w:t>Protein Change</w:t>
      </w:r>
      <w:r>
        <w:rPr>
          <w:b/>
        </w:rPr>
        <w:tab/>
      </w:r>
      <w:r>
        <w:rPr>
          <w:b/>
        </w:rPr>
        <w:tab/>
      </w:r>
      <w:r>
        <w:t>P72R</w:t>
      </w:r>
      <w:r>
        <w:br/>
      </w:r>
      <w:r>
        <w:rPr>
          <w:b/>
        </w:rPr>
        <w:t>Coordinates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chr17:g.7579472G&gt;C</w:t>
      </w:r>
      <w:r>
        <w:br/>
      </w:r>
      <w:r>
        <w:rPr>
          <w:b/>
        </w:rPr>
        <w:t>ENST 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ENST00000269305.4</w:t>
      </w:r>
      <w:r>
        <w:br/>
      </w:r>
    </w:p>
    <w:p w:rsidR="002D4F1E" w:rsidRDefault="00251D39">
      <w:pPr>
        <w:pStyle w:val="Heading3"/>
      </w:pPr>
      <w:r>
        <w:t xml:space="preserve">Variant Description: </w:t>
      </w:r>
    </w:p>
    <w:p w:rsidR="002D4F1E" w:rsidRDefault="00251D39">
      <w:r>
        <w:t xml:space="preserve">This polymorphism is relatively widely studied across cancer types, but meta-analyses in breast, lung and cervical cancer cohorts have so far been inconclusive as to the significance of </w:t>
      </w:r>
      <w:r>
        <w:t>a patient's genotype at this locus as it relates to cancer susceptibility and prognosis.</w:t>
      </w:r>
    </w:p>
    <w:p w:rsidR="002D4F1E" w:rsidRDefault="00251D39">
      <w:pPr>
        <w:pStyle w:val="Heading3"/>
      </w:pPr>
      <w:r>
        <w:t>Associated Assertions:</w:t>
      </w:r>
    </w:p>
    <w:p w:rsidR="002D4F1E" w:rsidRDefault="00251D39">
      <w:r>
        <w:t>N/A</w:t>
      </w:r>
    </w:p>
    <w:p w:rsidR="002D4F1E" w:rsidRDefault="00251D39">
      <w:pPr>
        <w:pStyle w:val="Heading3"/>
      </w:pPr>
      <w:r>
        <w:t>Associated Evidence Items:</w:t>
      </w:r>
    </w:p>
    <w:p w:rsidR="002D4F1E" w:rsidRDefault="00251D39">
      <w:r>
        <w:rPr>
          <w:b/>
        </w:rPr>
        <w:t xml:space="preserve">Description: </w:t>
      </w:r>
      <w:r>
        <w:t>TP53 P72R Does Not Support Positive Predisposition For Cancer  for patients with Breast Cancer</w:t>
      </w:r>
    </w:p>
    <w:p w:rsidR="002D4F1E" w:rsidRDefault="00251D39">
      <w:pPr>
        <w:pStyle w:val="ListBullet"/>
      </w:pPr>
      <w:r>
        <w:rPr>
          <w:b/>
        </w:rPr>
        <w:t>CIViC</w:t>
      </w:r>
      <w:r>
        <w:rPr>
          <w:b/>
        </w:rPr>
        <w:t xml:space="preserve"> EID(s): </w:t>
      </w:r>
      <w:hyperlink r:id="rId13">
        <w:r>
          <w:rPr>
            <w:color w:val="0000FF" w:themeColor="hyperlink"/>
            <w:u w:val="single"/>
          </w:rPr>
          <w:t>EID1302</w:t>
        </w:r>
      </w:hyperlink>
    </w:p>
    <w:p w:rsidR="002D4F1E" w:rsidRDefault="00251D39">
      <w:pPr>
        <w:pStyle w:val="ListBullet"/>
      </w:pPr>
      <w:r>
        <w:rPr>
          <w:b/>
        </w:rPr>
        <w:t xml:space="preserve">PubMed ID(s): </w:t>
      </w:r>
      <w:hyperlink r:id="rId14">
        <w:r>
          <w:rPr>
            <w:color w:val="0000FF" w:themeColor="hyperlink"/>
            <w:u w:val="single"/>
          </w:rPr>
          <w:t>17909070</w:t>
        </w:r>
      </w:hyperlink>
    </w:p>
    <w:p w:rsidR="002D4F1E" w:rsidRDefault="00251D39">
      <w:r>
        <w:rPr>
          <w:b/>
        </w:rPr>
        <w:t xml:space="preserve">Description: </w:t>
      </w:r>
      <w:r>
        <w:t xml:space="preserve">TP53 P72R Does Not Support Poor Outcome for patients with Cervical </w:t>
      </w:r>
      <w:r>
        <w:t>Cancer</w:t>
      </w:r>
    </w:p>
    <w:p w:rsidR="002D4F1E" w:rsidRDefault="00251D39">
      <w:pPr>
        <w:pStyle w:val="ListBullet"/>
      </w:pPr>
      <w:r>
        <w:rPr>
          <w:b/>
        </w:rPr>
        <w:t xml:space="preserve">CIViC EID(s): </w:t>
      </w:r>
      <w:hyperlink r:id="rId15">
        <w:r>
          <w:rPr>
            <w:color w:val="0000FF" w:themeColor="hyperlink"/>
            <w:u w:val="single"/>
          </w:rPr>
          <w:t>EID1304</w:t>
        </w:r>
      </w:hyperlink>
    </w:p>
    <w:p w:rsidR="002D4F1E" w:rsidRDefault="00251D39">
      <w:pPr>
        <w:pStyle w:val="ListBullet"/>
      </w:pPr>
      <w:r>
        <w:rPr>
          <w:b/>
        </w:rPr>
        <w:t xml:space="preserve">PubMed ID(s): </w:t>
      </w:r>
      <w:hyperlink r:id="rId16">
        <w:r>
          <w:rPr>
            <w:color w:val="0000FF" w:themeColor="hyperlink"/>
            <w:u w:val="single"/>
          </w:rPr>
          <w:t>11535556</w:t>
        </w:r>
      </w:hyperlink>
    </w:p>
    <w:p w:rsidR="002D4F1E" w:rsidRDefault="00251D39">
      <w:r>
        <w:rPr>
          <w:b/>
        </w:rPr>
        <w:t xml:space="preserve">Description: </w:t>
      </w:r>
      <w:r>
        <w:t>TP53 P72R Does Not Support Poor Outcome for patients wi</w:t>
      </w:r>
      <w:r>
        <w:t>th Lung Carcinoma</w:t>
      </w:r>
    </w:p>
    <w:p w:rsidR="002D4F1E" w:rsidRDefault="00251D39">
      <w:pPr>
        <w:pStyle w:val="ListBullet"/>
      </w:pPr>
      <w:r>
        <w:rPr>
          <w:b/>
        </w:rPr>
        <w:t xml:space="preserve">CIViC EID(s): </w:t>
      </w:r>
      <w:hyperlink r:id="rId17">
        <w:r>
          <w:rPr>
            <w:color w:val="0000FF" w:themeColor="hyperlink"/>
            <w:u w:val="single"/>
          </w:rPr>
          <w:t>EID1303</w:t>
        </w:r>
      </w:hyperlink>
    </w:p>
    <w:p w:rsidR="002D4F1E" w:rsidRDefault="00251D39">
      <w:pPr>
        <w:pStyle w:val="ListBullet"/>
      </w:pPr>
      <w:r>
        <w:rPr>
          <w:b/>
        </w:rPr>
        <w:t xml:space="preserve">PubMed ID(s): </w:t>
      </w:r>
      <w:hyperlink r:id="rId18">
        <w:r>
          <w:rPr>
            <w:color w:val="0000FF" w:themeColor="hyperlink"/>
            <w:u w:val="single"/>
          </w:rPr>
          <w:t>12840112</w:t>
        </w:r>
      </w:hyperlink>
    </w:p>
    <w:p w:rsidR="002D4F1E" w:rsidRDefault="00251D39">
      <w:pPr>
        <w:pStyle w:val="Heading1"/>
      </w:pPr>
      <w:r>
        <w:lastRenderedPageBreak/>
        <w:t>Clinical Variant #5</w:t>
      </w:r>
    </w:p>
    <w:p w:rsidR="002D4F1E" w:rsidRDefault="00251D39">
      <w:r>
        <w:rPr>
          <w:b/>
        </w:rPr>
        <w:t>Gene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ERCC2</w:t>
      </w:r>
      <w:r>
        <w:br/>
      </w:r>
      <w:r>
        <w:rPr>
          <w:b/>
        </w:rPr>
        <w:t xml:space="preserve">Protein </w:t>
      </w:r>
      <w:r>
        <w:rPr>
          <w:b/>
        </w:rPr>
        <w:t>Change</w:t>
      </w:r>
      <w:r>
        <w:rPr>
          <w:b/>
        </w:rPr>
        <w:tab/>
      </w:r>
      <w:r>
        <w:rPr>
          <w:b/>
        </w:rPr>
        <w:tab/>
      </w:r>
      <w:r>
        <w:t>K751Q</w:t>
      </w:r>
      <w:r>
        <w:br/>
      </w:r>
      <w:r>
        <w:rPr>
          <w:b/>
        </w:rPr>
        <w:t>Coordinates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chr19:g.45854919T&gt;G</w:t>
      </w:r>
      <w:r>
        <w:br/>
      </w:r>
      <w:r>
        <w:rPr>
          <w:b/>
        </w:rPr>
        <w:t>ENST 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ENST00000391945.4</w:t>
      </w:r>
      <w:r>
        <w:br/>
      </w:r>
    </w:p>
    <w:p w:rsidR="002D4F1E" w:rsidRDefault="00251D39">
      <w:pPr>
        <w:pStyle w:val="Heading3"/>
      </w:pPr>
      <w:r>
        <w:t xml:space="preserve">Variant Description: </w:t>
      </w:r>
    </w:p>
    <w:p w:rsidR="002D4F1E" w:rsidRDefault="00251D39">
      <w:r>
        <w:t>N/A</w:t>
      </w:r>
    </w:p>
    <w:p w:rsidR="002D4F1E" w:rsidRDefault="00251D39">
      <w:pPr>
        <w:pStyle w:val="Heading3"/>
      </w:pPr>
      <w:r>
        <w:t>Associated Assertions:</w:t>
      </w:r>
    </w:p>
    <w:p w:rsidR="002D4F1E" w:rsidRDefault="00251D39">
      <w:r>
        <w:t>N/A</w:t>
      </w:r>
    </w:p>
    <w:p w:rsidR="002D4F1E" w:rsidRDefault="00251D39">
      <w:pPr>
        <w:pStyle w:val="Heading3"/>
      </w:pPr>
      <w:r>
        <w:t>Associated Evidence Items:</w:t>
      </w:r>
    </w:p>
    <w:p w:rsidR="002D4F1E" w:rsidRDefault="00251D39">
      <w:r>
        <w:rPr>
          <w:b/>
        </w:rPr>
        <w:t xml:space="preserve">Description: </w:t>
      </w:r>
      <w:r>
        <w:t>ERCC2 K751Q Supports Sensitivity/Response to combination of Carboplatin and Paclitaxel</w:t>
      </w:r>
      <w:r>
        <w:t xml:space="preserve"> for patients with Non-small Cell Lung Carcinoma</w:t>
      </w:r>
    </w:p>
    <w:p w:rsidR="002D4F1E" w:rsidRDefault="00251D39">
      <w:pPr>
        <w:pStyle w:val="ListBullet"/>
      </w:pPr>
      <w:r>
        <w:rPr>
          <w:b/>
        </w:rPr>
        <w:t xml:space="preserve">CIViC EID(s): </w:t>
      </w:r>
      <w:hyperlink r:id="rId19">
        <w:r>
          <w:rPr>
            <w:color w:val="0000FF" w:themeColor="hyperlink"/>
            <w:u w:val="single"/>
          </w:rPr>
          <w:t>EID677</w:t>
        </w:r>
      </w:hyperlink>
    </w:p>
    <w:p w:rsidR="002D4F1E" w:rsidRDefault="00251D39">
      <w:pPr>
        <w:pStyle w:val="ListBullet"/>
      </w:pPr>
      <w:r>
        <w:rPr>
          <w:b/>
        </w:rPr>
        <w:t xml:space="preserve">PubMed ID(s): </w:t>
      </w:r>
      <w:hyperlink r:id="rId20">
        <w:r>
          <w:rPr>
            <w:color w:val="0000FF" w:themeColor="hyperlink"/>
            <w:u w:val="single"/>
          </w:rPr>
          <w:t>19470925</w:t>
        </w:r>
      </w:hyperlink>
    </w:p>
    <w:p w:rsidR="002D4F1E" w:rsidRDefault="00251D39">
      <w:pPr>
        <w:pStyle w:val="Heading1"/>
      </w:pPr>
      <w:r>
        <w:t xml:space="preserve">Processing </w:t>
      </w:r>
      <w:r>
        <w:t>information</w:t>
      </w:r>
    </w:p>
    <w:p w:rsidR="002D4F1E" w:rsidRDefault="00251D39">
      <w:r>
        <w:rPr>
          <w:b/>
        </w:rPr>
        <w:t xml:space="preserve">Variants Processed: </w:t>
      </w:r>
      <w:r>
        <w:t>62</w:t>
      </w:r>
      <w:r>
        <w:br/>
      </w:r>
      <w:r>
        <w:rPr>
          <w:b/>
        </w:rPr>
        <w:t xml:space="preserve">Clinical Annotations: </w:t>
      </w:r>
      <w:r>
        <w:t>5</w:t>
      </w:r>
      <w:r>
        <w:br/>
      </w:r>
    </w:p>
    <w:p w:rsidR="002D4F1E" w:rsidRDefault="00251D39">
      <w:r>
        <w:t>OpenCAP is intended for research use only and clinical applications of subsequent panels designed using the SOP would require further panel validation.</w:t>
      </w:r>
    </w:p>
    <w:sectPr w:rsidR="002D4F1E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D39"/>
    <w:rsid w:val="0029639D"/>
    <w:rsid w:val="002D4F1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18B4D"/>
  <w14:defaultImageDpi w14:val="300"/>
  <w15:docId w15:val="{4379A0ED-60F5-B04A-AB53-4D8D23D8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1D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7819322" TargetMode="External"/><Relationship Id="rId13" Type="http://schemas.openxmlformats.org/officeDocument/2006/relationships/hyperlink" Target="https://civicdb.org/links?idtype=evidence&amp;id=EID1302" TargetMode="External"/><Relationship Id="rId18" Type="http://schemas.openxmlformats.org/officeDocument/2006/relationships/hyperlink" Target="https://www.ncbi.nlm.nih.gov/pubmed/1284011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ivicdb.org/links?idtype=evidence&amp;id=EID1756" TargetMode="External"/><Relationship Id="rId12" Type="http://schemas.openxmlformats.org/officeDocument/2006/relationships/hyperlink" Target="https://www.ncbi.nlm.nih.gov/pubmed/22906996" TargetMode="External"/><Relationship Id="rId17" Type="http://schemas.openxmlformats.org/officeDocument/2006/relationships/hyperlink" Target="https://civicdb.org/links?idtype=evidence&amp;id=EID13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11535556" TargetMode="External"/><Relationship Id="rId20" Type="http://schemas.openxmlformats.org/officeDocument/2006/relationships/hyperlink" Target="https://www.ncbi.nlm.nih.gov/pubmed/1947092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cbi.nlm.nih.gov/pubmed/249898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vicdb.org/links?idtype=evidence&amp;id=EID1304" TargetMode="External"/><Relationship Id="rId10" Type="http://schemas.openxmlformats.org/officeDocument/2006/relationships/hyperlink" Target="https://civicdb.org/links?idtype=evidence&amp;id=EID1084" TargetMode="External"/><Relationship Id="rId19" Type="http://schemas.openxmlformats.org/officeDocument/2006/relationships/hyperlink" Target="https://civicdb.org/links?idtype=evidence&amp;id=EID6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vicdb.org/links?idtype=evidence&amp;id=EID1088" TargetMode="External"/><Relationship Id="rId14" Type="http://schemas.openxmlformats.org/officeDocument/2006/relationships/hyperlink" Target="https://www.ncbi.nlm.nih.gov/pubmed/179090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8703F6-3479-7B43-83D9-32909ABB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Cotto, Kelsy</cp:lastModifiedBy>
  <cp:revision>2</cp:revision>
  <dcterms:created xsi:type="dcterms:W3CDTF">2013-12-23T23:15:00Z</dcterms:created>
  <dcterms:modified xsi:type="dcterms:W3CDTF">2019-04-18T16:42:00Z</dcterms:modified>
  <cp:category/>
</cp:coreProperties>
</file>