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r>
        <w:rPr>
          <w:b/>
          <w:sz w:val="24"/>
        </w:rPr>
        <w:t>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B21A98">
        <w:rPr>
          <w:b/>
          <w:sz w:val="48"/>
        </w:rPr>
        <w:t>У</w:t>
      </w:r>
      <w:r w:rsidR="007E31D6">
        <w:rPr>
          <w:b/>
          <w:sz w:val="48"/>
        </w:rPr>
        <w:t>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Default="00B21A98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  <w:r w:rsidR="00A158A0">
              <w:rPr>
                <w:sz w:val="28"/>
              </w:rPr>
              <w:t xml:space="preserve">  </w:t>
            </w:r>
            <w:r w:rsidR="00A158A0" w:rsidRPr="00F841F3">
              <w:rPr>
                <w:sz w:val="28"/>
              </w:rPr>
              <w:t>-</w:t>
            </w:r>
            <w:r w:rsidR="00A158A0"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</w:p>
        </w:tc>
      </w:tr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733DF3" w:rsidRDefault="000D63E2" w:rsidP="00733DF3">
            <w:pPr>
              <w:jc w:val="center"/>
              <w:rPr>
                <w:color w:val="FF0000"/>
                <w:sz w:val="22"/>
                <w:lang w:val="en-US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733DF3">
              <w:rPr>
                <w:color w:val="FF0000"/>
                <w:sz w:val="22"/>
                <w:lang w:val="en-US"/>
              </w:rPr>
              <w:t>7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733DF3" w:rsidP="00733DF3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</w:t>
            </w:r>
            <w:r>
              <w:rPr>
                <w:color w:val="FF0000"/>
                <w:sz w:val="22"/>
                <w:lang w:val="en-US"/>
              </w:rPr>
              <w:t>7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85346F" w:rsidRDefault="0085346F">
      <w:pPr>
        <w:jc w:val="center"/>
      </w:pPr>
    </w:p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:rsidTr="00E27A33">
        <w:tc>
          <w:tcPr>
            <w:tcW w:w="2802" w:type="dxa"/>
            <w:gridSpan w:val="5"/>
            <w:vMerge w:val="restart"/>
          </w:tcPr>
          <w:p w:rsidR="0085346F" w:rsidRPr="006D096E" w:rsidRDefault="0085346F" w:rsidP="00E27A33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85346F" w:rsidRPr="009E07F5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6D096E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85346F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5346F" w:rsidRPr="004F4773" w:rsidTr="00E27A33">
        <w:tc>
          <w:tcPr>
            <w:tcW w:w="2802" w:type="dxa"/>
            <w:gridSpan w:val="5"/>
            <w:vMerge/>
          </w:tcPr>
          <w:p w:rsidR="0085346F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85346F" w:rsidRPr="009E07F5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733DF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733DF3" w:rsidRDefault="00733DF3" w:rsidP="00E27A33">
            <w:pPr>
              <w:jc w:val="center"/>
              <w:rPr>
                <w:sz w:val="24"/>
                <w:szCs w:val="24"/>
              </w:rPr>
            </w:pPr>
            <w:r w:rsidRPr="003158BF">
              <w:rPr>
                <w:color w:val="FF0000"/>
                <w:sz w:val="24"/>
                <w:szCs w:val="24"/>
              </w:rPr>
              <w:t>сентября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3158BF">
              <w:rPr>
                <w:color w:val="FF0000"/>
                <w:sz w:val="24"/>
              </w:rPr>
              <w:t>2017</w:t>
            </w:r>
            <w:r w:rsidRPr="003158BF">
              <w:rPr>
                <w:sz w:val="24"/>
              </w:rPr>
              <w:t>г</w:t>
            </w:r>
            <w:r w:rsidRPr="009E07F5">
              <w:rPr>
                <w:sz w:val="24"/>
              </w:rPr>
              <w:t>.</w:t>
            </w:r>
          </w:p>
        </w:tc>
        <w:tc>
          <w:tcPr>
            <w:tcW w:w="425" w:type="dxa"/>
            <w:tcBorders>
              <w:left w:val="nil"/>
            </w:tcBorders>
          </w:tcPr>
          <w:p w:rsidR="0085346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A04214" w:rsidRDefault="0085346F" w:rsidP="00E27A33">
            <w:pPr>
              <w:jc w:val="center"/>
              <w:rPr>
                <w:sz w:val="24"/>
                <w:szCs w:val="24"/>
              </w:rPr>
            </w:pPr>
          </w:p>
        </w:tc>
      </w:tr>
      <w:tr w:rsidR="0085346F" w:rsidRPr="004F4773" w:rsidTr="00E27A33">
        <w:trPr>
          <w:trHeight w:val="223"/>
        </w:trPr>
        <w:tc>
          <w:tcPr>
            <w:tcW w:w="2802" w:type="dxa"/>
            <w:gridSpan w:val="5"/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85346F" w:rsidRDefault="008534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lastRenderedPageBreak/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bookmarkStart w:id="0" w:name="_GoBack"/>
      <w:bookmarkEnd w:id="0"/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 xml:space="preserve">люстративного материала для доклада» – </w:t>
      </w:r>
      <w:r w:rsidR="00733DF3">
        <w:rPr>
          <w:sz w:val="28"/>
          <w:szCs w:val="28"/>
        </w:rPr>
        <w:t>конец</w:t>
      </w:r>
      <w:r w:rsidRPr="0054548B">
        <w:rPr>
          <w:sz w:val="28"/>
          <w:szCs w:val="28"/>
        </w:rPr>
        <w:t xml:space="preserve"> недели перед зачетной неделей.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0F6F58"/>
    <w:rsid w:val="001B0AB0"/>
    <w:rsid w:val="002147C5"/>
    <w:rsid w:val="0023671E"/>
    <w:rsid w:val="00276370"/>
    <w:rsid w:val="0030452B"/>
    <w:rsid w:val="003158BF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33DF3"/>
    <w:rsid w:val="007657D6"/>
    <w:rsid w:val="00792BFE"/>
    <w:rsid w:val="007C4683"/>
    <w:rsid w:val="007E0B14"/>
    <w:rsid w:val="007E31D6"/>
    <w:rsid w:val="00806A17"/>
    <w:rsid w:val="0085346F"/>
    <w:rsid w:val="008D653C"/>
    <w:rsid w:val="008F535B"/>
    <w:rsid w:val="00942A99"/>
    <w:rsid w:val="0094342D"/>
    <w:rsid w:val="00A158A0"/>
    <w:rsid w:val="00A241A5"/>
    <w:rsid w:val="00AC7848"/>
    <w:rsid w:val="00AE11FC"/>
    <w:rsid w:val="00B21A98"/>
    <w:rsid w:val="00B353D3"/>
    <w:rsid w:val="00B51EC9"/>
    <w:rsid w:val="00B76D5E"/>
    <w:rsid w:val="00C20AA1"/>
    <w:rsid w:val="00C73A12"/>
    <w:rsid w:val="00C87E11"/>
    <w:rsid w:val="00D72225"/>
    <w:rsid w:val="00E81AAD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9F19-32CA-45E7-8E12-0F2E997B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Andrew</cp:lastModifiedBy>
  <cp:revision>3</cp:revision>
  <cp:lastPrinted>2005-02-25T10:18:00Z</cp:lastPrinted>
  <dcterms:created xsi:type="dcterms:W3CDTF">2017-11-21T11:02:00Z</dcterms:created>
  <dcterms:modified xsi:type="dcterms:W3CDTF">2018-02-05T20:32:00Z</dcterms:modified>
</cp:coreProperties>
</file>