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8B788" w14:textId="77777777" w:rsidR="00A47474" w:rsidRPr="002955A6" w:rsidRDefault="00A47474" w:rsidP="009E7C82">
      <w:pPr>
        <w:spacing w:before="100" w:beforeAutospacing="1" w:after="100" w:afterAutospacing="1" w:line="240" w:lineRule="auto"/>
        <w:jc w:val="center"/>
        <w:rPr>
          <w:rFonts w:ascii="Times New Roman" w:eastAsia="Times New Roman" w:hAnsi="Times New Roman" w:cs="Times New Roman"/>
          <w:color w:val="000000"/>
          <w:kern w:val="0"/>
          <w:sz w:val="32"/>
          <w:szCs w:val="32"/>
          <w14:ligatures w14:val="none"/>
        </w:rPr>
      </w:pPr>
      <w:r w:rsidRPr="002955A6">
        <w:rPr>
          <w:rFonts w:ascii="Times New Roman" w:eastAsia="Times New Roman" w:hAnsi="Times New Roman" w:cs="Times New Roman"/>
          <w:b/>
          <w:bCs/>
          <w:color w:val="000000"/>
          <w:kern w:val="0"/>
          <w:sz w:val="32"/>
          <w:szCs w:val="32"/>
          <w14:ligatures w14:val="none"/>
        </w:rPr>
        <w:t>Adjudicating Theories of Self-Determination Conflict with Machine Learning: A Stage-Specific Predictive Evaluation</w:t>
      </w:r>
    </w:p>
    <w:p w14:paraId="06698BD2" w14:textId="77777777" w:rsidR="009E7C82" w:rsidRDefault="009E7C82" w:rsidP="00A47474">
      <w:pPr>
        <w:pStyle w:val="p1"/>
        <w:rPr>
          <w:b/>
          <w:bCs/>
        </w:rPr>
      </w:pPr>
    </w:p>
    <w:p w14:paraId="372EA4D0" w14:textId="12558362" w:rsidR="00A47474" w:rsidRPr="001A751E" w:rsidRDefault="00A47474" w:rsidP="00C72BBE">
      <w:pPr>
        <w:pStyle w:val="p1"/>
      </w:pPr>
      <w:r w:rsidRPr="001A751E">
        <w:rPr>
          <w:b/>
          <w:bCs/>
        </w:rPr>
        <w:t>Abstract:</w:t>
      </w:r>
      <w:r w:rsidRPr="001A751E">
        <w:t xml:space="preserve"> </w:t>
      </w:r>
      <w:r w:rsidR="006719EE" w:rsidRPr="006719EE">
        <w:t xml:space="preserve">This </w:t>
      </w:r>
      <w:r w:rsidR="006719EE">
        <w:t>letter</w:t>
      </w:r>
      <w:r w:rsidR="006719EE" w:rsidRPr="006719EE">
        <w:t xml:space="preserve"> introduces a theory-driven machine learning framework to adjudicate between competing explanations for the onset and escalation of self-determination conflicts. Drawing on global group-level data (1945–2012), we evaluate four leading theoretical models—</w:t>
      </w:r>
      <w:r w:rsidR="002C3417">
        <w:t xml:space="preserve">historical </w:t>
      </w:r>
      <w:r w:rsidR="006719EE" w:rsidRPr="006719EE">
        <w:t xml:space="preserve">grievances, recent grievances, </w:t>
      </w:r>
      <w:r w:rsidR="002C3417" w:rsidRPr="006719EE">
        <w:t>political opportunity</w:t>
      </w:r>
      <w:r w:rsidR="002C3417">
        <w:t xml:space="preserve">, </w:t>
      </w:r>
      <w:r w:rsidR="006719EE" w:rsidRPr="006719EE">
        <w:t>and resource mobilization—alongside their interactions, using Random Forest classifiers and logistic regression across two distinct stages: (1) the nonviolent onset of separatist claims, and (2) their escalation into violence.</w:t>
      </w:r>
      <w:r w:rsidR="00F87F6A">
        <w:t xml:space="preserve"> </w:t>
      </w:r>
      <w:r w:rsidR="004D6BA4">
        <w:t xml:space="preserve">Substantively, our findings reveal that while </w:t>
      </w:r>
      <w:r w:rsidR="00ED40CC">
        <w:t xml:space="preserve">out-of-sample </w:t>
      </w:r>
      <w:r w:rsidR="004D6BA4">
        <w:t>predictive performances</w:t>
      </w:r>
      <w:r w:rsidR="006719EE" w:rsidRPr="006719EE">
        <w:t xml:space="preserve"> </w:t>
      </w:r>
      <w:r w:rsidR="006F1799">
        <w:t>among these four theoretical models</w:t>
      </w:r>
      <w:r w:rsidR="00335EA9">
        <w:t xml:space="preserve"> and </w:t>
      </w:r>
      <w:r w:rsidR="00335EA9" w:rsidRPr="006719EE">
        <w:t>their interactions</w:t>
      </w:r>
      <w:r w:rsidR="004D6BA4">
        <w:t xml:space="preserve"> </w:t>
      </w:r>
      <w:r w:rsidR="006219E6">
        <w:t xml:space="preserve">do not vary substantially </w:t>
      </w:r>
      <w:r w:rsidR="00E04785">
        <w:t>within and across stages</w:t>
      </w:r>
      <w:r w:rsidR="006F1799">
        <w:t xml:space="preserve">, political opportunity </w:t>
      </w:r>
      <w:r w:rsidR="00ED40CC">
        <w:t>and</w:t>
      </w:r>
      <w:r w:rsidR="000A617E">
        <w:t xml:space="preserve"> resources mobilization</w:t>
      </w:r>
      <w:r w:rsidR="00612A0A">
        <w:t xml:space="preserve"> models</w:t>
      </w:r>
      <w:r w:rsidR="000A617E">
        <w:t xml:space="preserve"> </w:t>
      </w:r>
      <w:r w:rsidR="006F1799">
        <w:t>alone or in com</w:t>
      </w:r>
      <w:r w:rsidR="00371692">
        <w:t xml:space="preserve">bination </w:t>
      </w:r>
      <w:r w:rsidR="000A617E">
        <w:t>with each other</w:t>
      </w:r>
      <w:r w:rsidR="006719EE" w:rsidRPr="006719EE">
        <w:t xml:space="preserve"> </w:t>
      </w:r>
      <w:r w:rsidR="00371692">
        <w:t>performs better</w:t>
      </w:r>
      <w:r w:rsidR="006B761E">
        <w:t xml:space="preserve"> than others in both</w:t>
      </w:r>
      <w:r w:rsidR="006719EE" w:rsidRPr="006719EE">
        <w:t xml:space="preserve"> </w:t>
      </w:r>
      <w:r w:rsidR="006B761E">
        <w:t>predicting</w:t>
      </w:r>
      <w:r w:rsidR="006719EE" w:rsidRPr="006719EE">
        <w:t xml:space="preserve"> </w:t>
      </w:r>
      <w:r w:rsidR="006B761E">
        <w:t xml:space="preserve">nonviolent onset and conflict escalation of self-determination conflicts. </w:t>
      </w:r>
      <w:r w:rsidR="006719EE" w:rsidRPr="006719EE">
        <w:t xml:space="preserve">By contrast, </w:t>
      </w:r>
      <w:r w:rsidR="00ED40CC">
        <w:t>both historical</w:t>
      </w:r>
      <w:r w:rsidR="006719EE" w:rsidRPr="006719EE">
        <w:t xml:space="preserve"> and recent grievance models—despite recent scholarly attention—perform comparatively </w:t>
      </w:r>
      <w:r w:rsidR="001D1E26" w:rsidRPr="006719EE">
        <w:t>poorly.</w:t>
      </w:r>
      <w:r w:rsidR="00C72BBE">
        <w:t xml:space="preserve"> </w:t>
      </w:r>
      <w:r w:rsidR="00442DB1" w:rsidRPr="00442DB1">
        <w:t>Through variable importance and partial dependence analyses, we show that while higher levels of democracy and economic development are positively associated with nonviolent mobilization, their lower levels are predictive of violent escalation—underscoring the stage-specific nature of these mechanisms.</w:t>
      </w:r>
      <w:r w:rsidR="00442DB1">
        <w:t xml:space="preserve"> This</w:t>
      </w:r>
      <w:r w:rsidR="001D1E26" w:rsidRPr="006719EE">
        <w:t xml:space="preserve"> stage-specific framework </w:t>
      </w:r>
      <w:r w:rsidR="001D1E26">
        <w:t>shows</w:t>
      </w:r>
      <w:r w:rsidR="001D1E26" w:rsidRPr="006719EE">
        <w:t xml:space="preserve"> that the mechanisms driving conflict onset differ from those driving escalation—an often-overlooked distinction in the literature. </w:t>
      </w:r>
      <w:r w:rsidR="006719EE" w:rsidRPr="006719EE">
        <w:t xml:space="preserve">Methodologically, Random Forest models offer superior predictive accuracy and reveal key nonlinear and interactive dynamics that traditional </w:t>
      </w:r>
      <w:r w:rsidR="00F87F6A">
        <w:t xml:space="preserve">logistic regression </w:t>
      </w:r>
      <w:r w:rsidR="006719EE" w:rsidRPr="006719EE">
        <w:t>models miss. By treating predictive performance as a tool for theory refinement, we offer a replicable approach for evaluating the generalizability and substantive relevance of conflict theories.</w:t>
      </w:r>
    </w:p>
    <w:p w14:paraId="7AB96A40" w14:textId="7539014A" w:rsidR="00A47474" w:rsidRDefault="00394E2A" w:rsidP="00A47474">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Word count: ~2500 (without title, abstract and references; some text around figures will be removed after completion) </w:t>
      </w:r>
    </w:p>
    <w:p w14:paraId="45043BE9" w14:textId="000DECFB" w:rsidR="00F63196" w:rsidRDefault="00F63196" w:rsidP="00A47474">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905945">
        <w:rPr>
          <w:rFonts w:ascii="Times New Roman" w:eastAsia="Times New Roman" w:hAnsi="Times New Roman" w:cs="Times New Roman"/>
          <w:b/>
          <w:bCs/>
          <w:i/>
          <w:iCs/>
          <w:color w:val="000000"/>
          <w:kern w:val="0"/>
          <w14:ligatures w14:val="none"/>
        </w:rPr>
        <w:t>Political Analysis</w:t>
      </w:r>
      <w:r>
        <w:rPr>
          <w:rFonts w:ascii="Times New Roman" w:eastAsia="Times New Roman" w:hAnsi="Times New Roman" w:cs="Times New Roman"/>
          <w:b/>
          <w:bCs/>
          <w:color w:val="000000"/>
          <w:kern w:val="0"/>
          <w14:ligatures w14:val="none"/>
        </w:rPr>
        <w:t xml:space="preserve"> (letter format, up to 2500</w:t>
      </w:r>
      <w:r w:rsidR="00030AFA">
        <w:rPr>
          <w:rFonts w:ascii="Times New Roman" w:eastAsia="Times New Roman" w:hAnsi="Times New Roman" w:cs="Times New Roman"/>
          <w:b/>
          <w:bCs/>
          <w:color w:val="000000"/>
          <w:kern w:val="0"/>
          <w14:ligatures w14:val="none"/>
        </w:rPr>
        <w:t xml:space="preserve"> words</w:t>
      </w:r>
      <w:r w:rsidR="00976851">
        <w:rPr>
          <w:rFonts w:ascii="Times New Roman" w:eastAsia="Times New Roman" w:hAnsi="Times New Roman" w:cs="Times New Roman"/>
          <w:b/>
          <w:bCs/>
          <w:color w:val="000000"/>
          <w:kern w:val="0"/>
          <w14:ligatures w14:val="none"/>
        </w:rPr>
        <w:t>)</w:t>
      </w:r>
    </w:p>
    <w:p w14:paraId="675BEEC0" w14:textId="77777777" w:rsidR="00F63196" w:rsidRPr="001A751E" w:rsidRDefault="00F63196" w:rsidP="00A47474">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p>
    <w:p w14:paraId="13414952" w14:textId="77777777" w:rsidR="00474A23" w:rsidRPr="001A751E" w:rsidRDefault="00474A23">
      <w:pPr>
        <w:rPr>
          <w:rFonts w:ascii="Times New Roman" w:eastAsia="Times New Roman" w:hAnsi="Times New Roman" w:cs="Times New Roman"/>
          <w:b/>
          <w:bCs/>
          <w:color w:val="000000"/>
          <w:kern w:val="0"/>
          <w14:ligatures w14:val="none"/>
        </w:rPr>
      </w:pPr>
      <w:r w:rsidRPr="001A751E">
        <w:rPr>
          <w:rFonts w:ascii="Times New Roman" w:eastAsia="Times New Roman" w:hAnsi="Times New Roman" w:cs="Times New Roman"/>
          <w:b/>
          <w:bCs/>
          <w:color w:val="000000"/>
          <w:kern w:val="0"/>
          <w14:ligatures w14:val="none"/>
        </w:rPr>
        <w:br w:type="page"/>
      </w:r>
    </w:p>
    <w:p w14:paraId="4875C7A1" w14:textId="688A0DD3" w:rsidR="00A47474" w:rsidRPr="00A47474" w:rsidRDefault="00A47474" w:rsidP="00A47474">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A47474">
        <w:rPr>
          <w:rFonts w:ascii="Times New Roman" w:eastAsia="Times New Roman" w:hAnsi="Times New Roman" w:cs="Times New Roman"/>
          <w:b/>
          <w:bCs/>
          <w:color w:val="000000"/>
          <w:kern w:val="0"/>
          <w14:ligatures w14:val="none"/>
        </w:rPr>
        <w:lastRenderedPageBreak/>
        <w:t>Introduction</w:t>
      </w:r>
    </w:p>
    <w:p w14:paraId="0FD6D803" w14:textId="033A6BB0" w:rsidR="00795862" w:rsidRPr="001A751E" w:rsidRDefault="00795862" w:rsidP="00DA4A14">
      <w:pPr>
        <w:pStyle w:val="p1"/>
      </w:pPr>
      <w:r w:rsidRPr="001A751E">
        <w:t xml:space="preserve">Why do some self-determination movements escalate into violent conflict while others remain nonviolent or dissipate altogether? A large literature offers competing </w:t>
      </w:r>
      <w:r w:rsidR="004C2C28">
        <w:t>explanations</w:t>
      </w:r>
      <w:r w:rsidRPr="001A751E">
        <w:t xml:space="preserve">, invoking </w:t>
      </w:r>
      <w:r w:rsidR="002C3417">
        <w:t xml:space="preserve">historical and recent </w:t>
      </w:r>
      <w:r w:rsidRPr="001A751E">
        <w:t>grievances, opportunity structures, resource mobilization, or their interactions. Yet few studies systematically adjudicate these theories across distinct stages of conflict—onset and escalation—or test their generalizability across cases.</w:t>
      </w:r>
      <w:r w:rsidR="00836E48">
        <w:rPr>
          <w:rStyle w:val="FootnoteReference"/>
        </w:rPr>
        <w:footnoteReference w:id="1"/>
      </w:r>
      <w:r w:rsidRPr="001A751E">
        <w:t xml:space="preserve"> Even fewer evaluate </w:t>
      </w:r>
      <w:r w:rsidR="00976851">
        <w:t xml:space="preserve">and adjudicate among </w:t>
      </w:r>
      <w:r w:rsidRPr="001A751E">
        <w:t>these theories using predictive metrics that reward generalization rather than in-sample fit, an essential step for advancing theory in this area.</w:t>
      </w:r>
    </w:p>
    <w:p w14:paraId="2D2008D4" w14:textId="6322DB9C" w:rsidR="00741FF3" w:rsidRPr="002D35B1" w:rsidRDefault="00795862" w:rsidP="00741FF3">
      <w:pPr>
        <w:pStyle w:val="p1"/>
        <w:rPr>
          <w:rFonts w:asciiTheme="majorBidi" w:hAnsiTheme="majorBidi" w:cstheme="majorBidi"/>
        </w:rPr>
      </w:pPr>
      <w:r w:rsidRPr="002D35B1">
        <w:rPr>
          <w:rFonts w:asciiTheme="majorBidi" w:hAnsiTheme="majorBidi" w:cstheme="majorBidi"/>
        </w:rPr>
        <w:t xml:space="preserve">This letter proposes a new strategy for theory adjudication </w:t>
      </w:r>
      <w:r w:rsidR="002C3417" w:rsidRPr="002D35B1">
        <w:rPr>
          <w:rFonts w:asciiTheme="majorBidi" w:hAnsiTheme="majorBidi" w:cstheme="majorBidi"/>
        </w:rPr>
        <w:t xml:space="preserve">and applies it to </w:t>
      </w:r>
      <w:r w:rsidRPr="002D35B1">
        <w:rPr>
          <w:rFonts w:asciiTheme="majorBidi" w:hAnsiTheme="majorBidi" w:cstheme="majorBidi"/>
        </w:rPr>
        <w:t>the study of self-determination conflict</w:t>
      </w:r>
      <w:r w:rsidR="00976851" w:rsidRPr="002D35B1">
        <w:rPr>
          <w:rFonts w:asciiTheme="majorBidi" w:hAnsiTheme="majorBidi" w:cstheme="majorBidi"/>
        </w:rPr>
        <w:t>—u</w:t>
      </w:r>
      <w:r w:rsidRPr="002D35B1">
        <w:rPr>
          <w:rFonts w:asciiTheme="majorBidi" w:hAnsiTheme="majorBidi" w:cstheme="majorBidi"/>
        </w:rPr>
        <w:t xml:space="preserve">sing supervised machine learning to </w:t>
      </w:r>
      <w:r w:rsidR="00976851" w:rsidRPr="002D35B1">
        <w:rPr>
          <w:rFonts w:asciiTheme="majorBidi" w:hAnsiTheme="majorBidi" w:cstheme="majorBidi"/>
        </w:rPr>
        <w:t>assess</w:t>
      </w:r>
      <w:r w:rsidRPr="002D35B1">
        <w:rPr>
          <w:rFonts w:asciiTheme="majorBidi" w:hAnsiTheme="majorBidi" w:cstheme="majorBidi"/>
        </w:rPr>
        <w:t xml:space="preserve"> competing theoretical models based on their out-of-sample predictive accuracy at different stages of conflict development</w:t>
      </w:r>
      <w:r w:rsidR="002C3417" w:rsidRPr="002D35B1">
        <w:rPr>
          <w:rFonts w:asciiTheme="majorBidi" w:hAnsiTheme="majorBidi" w:cstheme="majorBidi"/>
        </w:rPr>
        <w:t>. The approach</w:t>
      </w:r>
      <w:r w:rsidR="00976851" w:rsidRPr="002D35B1">
        <w:rPr>
          <w:rFonts w:asciiTheme="majorBidi" w:hAnsiTheme="majorBidi" w:cstheme="majorBidi"/>
        </w:rPr>
        <w:t xml:space="preserve"> is applicable </w:t>
      </w:r>
      <w:r w:rsidR="002C3417" w:rsidRPr="002D35B1">
        <w:rPr>
          <w:rFonts w:asciiTheme="majorBidi" w:hAnsiTheme="majorBidi" w:cstheme="majorBidi"/>
        </w:rPr>
        <w:t xml:space="preserve">not only </w:t>
      </w:r>
      <w:r w:rsidR="00976851" w:rsidRPr="002D35B1">
        <w:rPr>
          <w:rFonts w:asciiTheme="majorBidi" w:hAnsiTheme="majorBidi" w:cstheme="majorBidi"/>
        </w:rPr>
        <w:t xml:space="preserve">to other forms of conflict </w:t>
      </w:r>
      <w:r w:rsidR="002C3417" w:rsidRPr="002D35B1">
        <w:rPr>
          <w:rFonts w:asciiTheme="majorBidi" w:hAnsiTheme="majorBidi" w:cstheme="majorBidi"/>
        </w:rPr>
        <w:t xml:space="preserve">but also to </w:t>
      </w:r>
      <w:r w:rsidR="00976851" w:rsidRPr="002D35B1">
        <w:rPr>
          <w:rFonts w:asciiTheme="majorBidi" w:hAnsiTheme="majorBidi" w:cstheme="majorBidi"/>
        </w:rPr>
        <w:t xml:space="preserve">a wide range of political </w:t>
      </w:r>
      <w:r w:rsidR="002C3417" w:rsidRPr="002D35B1">
        <w:rPr>
          <w:rFonts w:asciiTheme="majorBidi" w:hAnsiTheme="majorBidi" w:cstheme="majorBidi"/>
        </w:rPr>
        <w:t xml:space="preserve">relevant </w:t>
      </w:r>
      <w:r w:rsidR="00976851" w:rsidRPr="002D35B1">
        <w:rPr>
          <w:rFonts w:asciiTheme="majorBidi" w:hAnsiTheme="majorBidi" w:cstheme="majorBidi"/>
        </w:rPr>
        <w:t>phenomena</w:t>
      </w:r>
      <w:r w:rsidRPr="002D35B1">
        <w:rPr>
          <w:rFonts w:asciiTheme="majorBidi" w:hAnsiTheme="majorBidi" w:cstheme="majorBidi"/>
        </w:rPr>
        <w:t xml:space="preserve">. By leveraging machine learning techniques, this framework pushes beyond traditional approaches and provides a novel lens for </w:t>
      </w:r>
      <w:r w:rsidR="00976851" w:rsidRPr="002D35B1">
        <w:rPr>
          <w:rFonts w:asciiTheme="majorBidi" w:hAnsiTheme="majorBidi" w:cstheme="majorBidi"/>
        </w:rPr>
        <w:t>appraising</w:t>
      </w:r>
      <w:r w:rsidRPr="002D35B1">
        <w:rPr>
          <w:rFonts w:asciiTheme="majorBidi" w:hAnsiTheme="majorBidi" w:cstheme="majorBidi"/>
        </w:rPr>
        <w:t xml:space="preserve"> the mechanisms driving conflict. </w:t>
      </w:r>
      <w:r w:rsidR="007D2070" w:rsidRPr="002D35B1">
        <w:rPr>
          <w:rFonts w:asciiTheme="majorBidi" w:hAnsiTheme="majorBidi" w:cstheme="majorBidi"/>
        </w:rPr>
        <w:t xml:space="preserve">We </w:t>
      </w:r>
      <w:r w:rsidRPr="002D35B1">
        <w:rPr>
          <w:rFonts w:asciiTheme="majorBidi" w:hAnsiTheme="majorBidi" w:cstheme="majorBidi"/>
        </w:rPr>
        <w:t xml:space="preserve">train </w:t>
      </w:r>
      <w:r w:rsidR="00BE7D17" w:rsidRPr="002D35B1">
        <w:rPr>
          <w:rFonts w:asciiTheme="majorBidi" w:hAnsiTheme="majorBidi" w:cstheme="majorBidi"/>
        </w:rPr>
        <w:t xml:space="preserve">both </w:t>
      </w:r>
      <w:r w:rsidRPr="002D35B1">
        <w:rPr>
          <w:rFonts w:asciiTheme="majorBidi" w:hAnsiTheme="majorBidi" w:cstheme="majorBidi"/>
        </w:rPr>
        <w:t>Random Forest classifiers</w:t>
      </w:r>
      <w:r w:rsidR="00BE7D17" w:rsidRPr="002D35B1">
        <w:rPr>
          <w:rFonts w:asciiTheme="majorBidi" w:hAnsiTheme="majorBidi" w:cstheme="majorBidi"/>
        </w:rPr>
        <w:t xml:space="preserve"> and logistic regression estimator</w:t>
      </w:r>
      <w:r w:rsidRPr="002D35B1">
        <w:rPr>
          <w:rFonts w:asciiTheme="majorBidi" w:hAnsiTheme="majorBidi" w:cstheme="majorBidi"/>
        </w:rPr>
        <w:t xml:space="preserve"> on global data from 1946 to </w:t>
      </w:r>
      <w:r w:rsidR="004E03A3" w:rsidRPr="002D35B1">
        <w:rPr>
          <w:rFonts w:asciiTheme="majorBidi" w:hAnsiTheme="majorBidi" w:cstheme="majorBidi"/>
        </w:rPr>
        <w:t xml:space="preserve">2012 </w:t>
      </w:r>
      <w:r w:rsidRPr="002D35B1">
        <w:rPr>
          <w:rFonts w:asciiTheme="majorBidi" w:hAnsiTheme="majorBidi" w:cstheme="majorBidi"/>
        </w:rPr>
        <w:t xml:space="preserve">to predict (1) which ethnic groups initiate nonviolent self-determination claims and (2) which </w:t>
      </w:r>
      <w:r w:rsidR="00976851" w:rsidRPr="002D35B1">
        <w:rPr>
          <w:rFonts w:asciiTheme="majorBidi" w:hAnsiTheme="majorBidi" w:cstheme="majorBidi"/>
        </w:rPr>
        <w:t xml:space="preserve">ethnic group </w:t>
      </w:r>
      <w:r w:rsidRPr="002D35B1">
        <w:rPr>
          <w:rFonts w:asciiTheme="majorBidi" w:hAnsiTheme="majorBidi" w:cstheme="majorBidi"/>
        </w:rPr>
        <w:t xml:space="preserve">claims </w:t>
      </w:r>
      <w:r w:rsidR="00976851" w:rsidRPr="002D35B1">
        <w:rPr>
          <w:rFonts w:asciiTheme="majorBidi" w:hAnsiTheme="majorBidi" w:cstheme="majorBidi"/>
        </w:rPr>
        <w:t xml:space="preserve">later </w:t>
      </w:r>
      <w:r w:rsidRPr="002D35B1">
        <w:rPr>
          <w:rFonts w:asciiTheme="majorBidi" w:hAnsiTheme="majorBidi" w:cstheme="majorBidi"/>
        </w:rPr>
        <w:t>escalate into violence. Each model operationalizes a distinct theory</w:t>
      </w:r>
      <w:r w:rsidR="00FD035F">
        <w:rPr>
          <w:rFonts w:asciiTheme="majorBidi" w:hAnsiTheme="majorBidi" w:cstheme="majorBidi"/>
        </w:rPr>
        <w:t xml:space="preserve"> and uses specific indicators</w:t>
      </w:r>
      <w:r w:rsidRPr="002D35B1">
        <w:rPr>
          <w:rFonts w:asciiTheme="majorBidi" w:hAnsiTheme="majorBidi" w:cstheme="majorBidi"/>
        </w:rPr>
        <w:t xml:space="preserve">. </w:t>
      </w:r>
      <w:r w:rsidR="002C3417" w:rsidRPr="002D35B1">
        <w:rPr>
          <w:rFonts w:asciiTheme="majorBidi" w:hAnsiTheme="majorBidi" w:cstheme="majorBidi"/>
        </w:rPr>
        <w:t>P</w:t>
      </w:r>
      <w:r w:rsidRPr="002D35B1">
        <w:rPr>
          <w:rFonts w:asciiTheme="majorBidi" w:hAnsiTheme="majorBidi" w:cstheme="majorBidi"/>
        </w:rPr>
        <w:t xml:space="preserve">erformance is evaluated based on </w:t>
      </w:r>
      <w:r w:rsidR="00F535B9" w:rsidRPr="002D35B1">
        <w:rPr>
          <w:rFonts w:asciiTheme="majorBidi" w:hAnsiTheme="majorBidi" w:cstheme="majorBidi"/>
        </w:rPr>
        <w:t xml:space="preserve">out-of-sample </w:t>
      </w:r>
      <w:r w:rsidRPr="002D35B1">
        <w:rPr>
          <w:rFonts w:asciiTheme="majorBidi" w:hAnsiTheme="majorBidi" w:cstheme="majorBidi"/>
        </w:rPr>
        <w:t xml:space="preserve">predictive accuracy, </w:t>
      </w:r>
      <w:r w:rsidR="00641F1E" w:rsidRPr="002D35B1">
        <w:rPr>
          <w:rFonts w:asciiTheme="majorBidi" w:hAnsiTheme="majorBidi" w:cstheme="majorBidi"/>
        </w:rPr>
        <w:t xml:space="preserve">and interpretative </w:t>
      </w:r>
      <w:r w:rsidRPr="002D35B1">
        <w:rPr>
          <w:rFonts w:asciiTheme="majorBidi" w:hAnsiTheme="majorBidi" w:cstheme="majorBidi"/>
        </w:rPr>
        <w:t xml:space="preserve">attention </w:t>
      </w:r>
      <w:r w:rsidR="00641F1E" w:rsidRPr="002D35B1">
        <w:rPr>
          <w:rFonts w:asciiTheme="majorBidi" w:hAnsiTheme="majorBidi" w:cstheme="majorBidi"/>
        </w:rPr>
        <w:t xml:space="preserve">is devoted </w:t>
      </w:r>
      <w:r w:rsidRPr="002D35B1">
        <w:rPr>
          <w:rFonts w:asciiTheme="majorBidi" w:hAnsiTheme="majorBidi" w:cstheme="majorBidi"/>
        </w:rPr>
        <w:t>to variable importance</w:t>
      </w:r>
      <w:r w:rsidR="00230C0E" w:rsidRPr="002D35B1">
        <w:rPr>
          <w:rFonts w:asciiTheme="majorBidi" w:hAnsiTheme="majorBidi" w:cstheme="majorBidi"/>
        </w:rPr>
        <w:t>, partial dependence plots,</w:t>
      </w:r>
      <w:r w:rsidRPr="002D35B1">
        <w:rPr>
          <w:rFonts w:asciiTheme="majorBidi" w:hAnsiTheme="majorBidi" w:cstheme="majorBidi"/>
        </w:rPr>
        <w:t xml:space="preserve"> and interaction structure. </w:t>
      </w:r>
      <w:r w:rsidR="00641F1E" w:rsidRPr="002D35B1">
        <w:rPr>
          <w:rFonts w:asciiTheme="majorBidi" w:hAnsiTheme="majorBidi" w:cstheme="majorBidi"/>
        </w:rPr>
        <w:t xml:space="preserve">Although </w:t>
      </w:r>
      <w:r w:rsidR="00F535B9" w:rsidRPr="002D35B1">
        <w:rPr>
          <w:rFonts w:asciiTheme="majorBidi" w:hAnsiTheme="majorBidi" w:cstheme="majorBidi"/>
        </w:rPr>
        <w:t>machine learning</w:t>
      </w:r>
      <w:r w:rsidR="00641F1E" w:rsidRPr="002D35B1">
        <w:rPr>
          <w:rFonts w:asciiTheme="majorBidi" w:hAnsiTheme="majorBidi" w:cstheme="majorBidi"/>
        </w:rPr>
        <w:t xml:space="preserve"> approaches have been increasingly </w:t>
      </w:r>
      <w:r w:rsidR="002C3417" w:rsidRPr="002D35B1">
        <w:rPr>
          <w:rFonts w:asciiTheme="majorBidi" w:hAnsiTheme="majorBidi" w:cstheme="majorBidi"/>
        </w:rPr>
        <w:t>exploited</w:t>
      </w:r>
      <w:r w:rsidR="00641F1E" w:rsidRPr="002D35B1">
        <w:rPr>
          <w:rFonts w:asciiTheme="majorBidi" w:hAnsiTheme="majorBidi" w:cstheme="majorBidi"/>
        </w:rPr>
        <w:t xml:space="preserve"> for prediction problems, our usage to adjudicate between theories </w:t>
      </w:r>
      <w:r w:rsidRPr="002D35B1">
        <w:rPr>
          <w:rFonts w:asciiTheme="majorBidi" w:hAnsiTheme="majorBidi" w:cstheme="majorBidi"/>
        </w:rPr>
        <w:t xml:space="preserve">marks a methodological departure from traditional </w:t>
      </w:r>
      <w:r w:rsidRPr="002D35B1">
        <w:rPr>
          <w:rFonts w:asciiTheme="majorBidi" w:hAnsiTheme="majorBidi" w:cstheme="majorBidi"/>
          <w:i/>
          <w:iCs/>
        </w:rPr>
        <w:t>theory testing</w:t>
      </w:r>
      <w:r w:rsidRPr="002D35B1">
        <w:rPr>
          <w:rFonts w:asciiTheme="majorBidi" w:hAnsiTheme="majorBidi" w:cstheme="majorBidi"/>
        </w:rPr>
        <w:t xml:space="preserve"> by focusing on out-of-sample generalizability, </w:t>
      </w:r>
      <w:r w:rsidR="00641F1E" w:rsidRPr="002D35B1">
        <w:rPr>
          <w:rFonts w:asciiTheme="majorBidi" w:hAnsiTheme="majorBidi" w:cstheme="majorBidi"/>
        </w:rPr>
        <w:t>thus</w:t>
      </w:r>
      <w:r w:rsidRPr="002D35B1">
        <w:rPr>
          <w:rFonts w:asciiTheme="majorBidi" w:hAnsiTheme="majorBidi" w:cstheme="majorBidi"/>
        </w:rPr>
        <w:t xml:space="preserve"> addressing the problem of overfitting that often undermines regression-based studies.</w:t>
      </w:r>
    </w:p>
    <w:p w14:paraId="218443AB" w14:textId="7ADA3967" w:rsidR="00741FF3" w:rsidRPr="001A751E" w:rsidRDefault="00103057" w:rsidP="00795862">
      <w:pPr>
        <w:pStyle w:val="p1"/>
      </w:pPr>
      <w:r>
        <w:t>First, o</w:t>
      </w:r>
      <w:r w:rsidR="00741FF3" w:rsidRPr="00741FF3">
        <w:t>ur findings reveal</w:t>
      </w:r>
      <w:r w:rsidR="00741FF3">
        <w:t xml:space="preserve"> </w:t>
      </w:r>
      <w:r w:rsidR="008D5FDD" w:rsidRPr="001A751E">
        <w:t>machine learning classifiers outperform traditional regression-based approaches</w:t>
      </w:r>
      <w:r w:rsidR="002C3417">
        <w:t xml:space="preserve">. </w:t>
      </w:r>
      <w:r w:rsidR="00A01B93">
        <w:t>T</w:t>
      </w:r>
      <w:r w:rsidR="002C3417">
        <w:t>hey</w:t>
      </w:r>
      <w:r w:rsidR="008D5FDD" w:rsidRPr="001A751E">
        <w:t xml:space="preserve"> </w:t>
      </w:r>
      <w:r w:rsidR="008D5FDD">
        <w:t xml:space="preserve">also enhancing </w:t>
      </w:r>
      <w:r w:rsidR="008D5FDD" w:rsidRPr="001A751E">
        <w:t>interpretability</w:t>
      </w:r>
      <w:r w:rsidR="002C3417">
        <w:t xml:space="preserve">, </w:t>
      </w:r>
      <w:r w:rsidR="008D5FDD" w:rsidRPr="001A751E">
        <w:t>reveal</w:t>
      </w:r>
      <w:r w:rsidR="002C3417">
        <w:t>ing</w:t>
      </w:r>
      <w:r w:rsidR="008D5FDD" w:rsidRPr="001A751E">
        <w:t xml:space="preserve"> non-additive interactions and nonlinear effects that illuminate stage-specific causal mechanisms.</w:t>
      </w:r>
      <w:r w:rsidR="00BA0688">
        <w:t xml:space="preserve"> Second,</w:t>
      </w:r>
      <w:r w:rsidR="00F37A11">
        <w:t xml:space="preserve"> our results show</w:t>
      </w:r>
      <w:r w:rsidR="00E04785">
        <w:t xml:space="preserve"> that</w:t>
      </w:r>
      <w:r w:rsidR="00431AFC">
        <w:t xml:space="preserve"> while predictive </w:t>
      </w:r>
      <w:r w:rsidR="00E04785">
        <w:t>performances</w:t>
      </w:r>
      <w:r w:rsidR="00431AFC">
        <w:t xml:space="preserve"> of these models do not vary s</w:t>
      </w:r>
      <w:r w:rsidR="00E04785">
        <w:t>ubstantially within and across stages,</w:t>
      </w:r>
      <w:r w:rsidR="00F37A11">
        <w:t xml:space="preserve"> both</w:t>
      </w:r>
      <w:r w:rsidR="00C24A15">
        <w:t xml:space="preserve"> n</w:t>
      </w:r>
      <w:r w:rsidR="00741FF3" w:rsidRPr="00741FF3">
        <w:t xml:space="preserve">onviolent mobilization </w:t>
      </w:r>
      <w:r w:rsidR="001810F5">
        <w:t>and violent</w:t>
      </w:r>
      <w:r w:rsidR="00741FF3" w:rsidRPr="00741FF3">
        <w:t xml:space="preserve"> escalation </w:t>
      </w:r>
      <w:r w:rsidR="009B0AEA" w:rsidRPr="00741FF3">
        <w:t xml:space="preserve">is </w:t>
      </w:r>
      <w:r w:rsidR="009B0AEA">
        <w:t>best</w:t>
      </w:r>
      <w:r w:rsidR="001810F5">
        <w:t xml:space="preserve"> predicted by political opportunity</w:t>
      </w:r>
      <w:r w:rsidR="00431AFC">
        <w:t xml:space="preserve"> and resources mobilization </w:t>
      </w:r>
      <w:r w:rsidR="001810F5">
        <w:t>model</w:t>
      </w:r>
      <w:r w:rsidR="00431AFC">
        <w:t>s</w:t>
      </w:r>
      <w:r w:rsidR="001810F5">
        <w:t xml:space="preserve"> </w:t>
      </w:r>
      <w:r w:rsidR="00431AFC">
        <w:t>alone</w:t>
      </w:r>
      <w:r w:rsidR="001810F5">
        <w:t xml:space="preserve"> </w:t>
      </w:r>
      <w:r w:rsidR="00431AFC">
        <w:t>or</w:t>
      </w:r>
      <w:r w:rsidR="001810F5">
        <w:t xml:space="preserve"> in combination with </w:t>
      </w:r>
      <w:r w:rsidR="00431AFC">
        <w:t>each other</w:t>
      </w:r>
      <w:r w:rsidR="00974199">
        <w:t xml:space="preserve">. </w:t>
      </w:r>
      <w:r w:rsidR="00741FF3" w:rsidRPr="00741FF3">
        <w:t xml:space="preserve">By comparison, models emphasizing </w:t>
      </w:r>
      <w:r w:rsidR="00010E86">
        <w:t xml:space="preserve">historical and </w:t>
      </w:r>
      <w:r w:rsidR="00741FF3" w:rsidRPr="00741FF3">
        <w:t xml:space="preserve">recent grievances perform </w:t>
      </w:r>
      <w:r w:rsidR="00974199">
        <w:t>weak</w:t>
      </w:r>
      <w:r w:rsidR="00741FF3" w:rsidRPr="00741FF3">
        <w:t xml:space="preserve">, raising </w:t>
      </w:r>
      <w:r w:rsidR="002C3417">
        <w:t>doubts</w:t>
      </w:r>
      <w:r w:rsidR="002C3417" w:rsidRPr="00741FF3">
        <w:t xml:space="preserve"> </w:t>
      </w:r>
      <w:r w:rsidR="00741FF3" w:rsidRPr="00741FF3">
        <w:t>about their explanatory power.</w:t>
      </w:r>
      <w:r w:rsidR="00A66583">
        <w:t xml:space="preserve"> </w:t>
      </w:r>
      <w:r w:rsidR="00BA0688">
        <w:t>Third</w:t>
      </w:r>
      <w:r w:rsidR="00A66583">
        <w:t xml:space="preserve">, </w:t>
      </w:r>
      <w:r w:rsidR="005B2ED9" w:rsidRPr="00442DB1">
        <w:t>through</w:t>
      </w:r>
      <w:r w:rsidR="00A66583" w:rsidRPr="00442DB1">
        <w:t xml:space="preserve"> variable importance and partial dependence analyses, we show that while higher levels of democracy and economic development are positively associated with nonviolent mobilization, their lower levels are predictive of violent escalation—underscoring the stage-specific nature of these mechanisms.</w:t>
      </w:r>
    </w:p>
    <w:p w14:paraId="68A6B73E" w14:textId="6DEFED12" w:rsidR="00795862" w:rsidRPr="0065463F" w:rsidRDefault="00795862" w:rsidP="0065463F">
      <w:pPr>
        <w:pStyle w:val="p1"/>
      </w:pPr>
      <w:r w:rsidRPr="001A751E">
        <w:t>By using predictive accuracy as a criterion for theory adjudication, this approach complements existing explanatory work and helps clarify which mechanisms matter, when, and under what conditions. This provides a critical bridge between empirical analysis and theoretical development in the study of contentious politics</w:t>
      </w:r>
      <w:r w:rsidR="00641F1E">
        <w:t xml:space="preserve"> by </w:t>
      </w:r>
      <w:r w:rsidRPr="001A751E">
        <w:t xml:space="preserve">offering new insights into the dynamics of self-determination conflicts. The results provide a framework for evaluating generalizable theories of contentious politics and suggest a path forward for integrating machine learning into substantive theory testing. </w:t>
      </w:r>
      <w:r w:rsidR="00B76D92">
        <w:t>T</w:t>
      </w:r>
      <w:r w:rsidRPr="001A751E">
        <w:t xml:space="preserve">his letter </w:t>
      </w:r>
      <w:r w:rsidR="00C125D8">
        <w:t>advanc</w:t>
      </w:r>
      <w:r w:rsidR="00B76D92">
        <w:t>es</w:t>
      </w:r>
      <w:r w:rsidR="00C125D8">
        <w:t xml:space="preserve"> an </w:t>
      </w:r>
      <w:r w:rsidRPr="001A751E">
        <w:t xml:space="preserve">approach </w:t>
      </w:r>
      <w:r w:rsidR="00C125D8">
        <w:t>to adjudicating between political science theories that enables us to detect and interpret key interactions</w:t>
      </w:r>
      <w:r w:rsidR="00B76D92">
        <w:t>, which</w:t>
      </w:r>
      <w:r w:rsidR="00C125D8">
        <w:t xml:space="preserve"> speak </w:t>
      </w:r>
      <w:r w:rsidR="00B06C24">
        <w:t xml:space="preserve">directly </w:t>
      </w:r>
      <w:r w:rsidR="00C125D8">
        <w:t>to the stage-specific causal mechanisms that motivate our theories</w:t>
      </w:r>
      <w:r w:rsidRPr="001A751E">
        <w:t>.</w:t>
      </w:r>
    </w:p>
    <w:p w14:paraId="19546B37" w14:textId="76FFF387" w:rsidR="00A47474" w:rsidRPr="00A47474" w:rsidRDefault="00A47474" w:rsidP="00474A23">
      <w:pPr>
        <w:spacing w:after="0"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b/>
          <w:bCs/>
          <w:color w:val="000000"/>
          <w:kern w:val="0"/>
          <w14:ligatures w14:val="none"/>
        </w:rPr>
        <w:t>Theoretical Background</w:t>
      </w:r>
    </w:p>
    <w:p w14:paraId="56A1E7C2" w14:textId="5ABDC988" w:rsidR="00A47474" w:rsidRPr="00A47474" w:rsidRDefault="00A47474"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color w:val="000000"/>
          <w:kern w:val="0"/>
          <w14:ligatures w14:val="none"/>
        </w:rPr>
        <w:t xml:space="preserve">Theories of self-determination conflict </w:t>
      </w:r>
      <w:r w:rsidR="00F30166">
        <w:rPr>
          <w:rFonts w:ascii="Times New Roman" w:eastAsia="Times New Roman" w:hAnsi="Times New Roman" w:cs="Times New Roman"/>
          <w:color w:val="000000"/>
          <w:kern w:val="0"/>
          <w14:ligatures w14:val="none"/>
        </w:rPr>
        <w:t xml:space="preserve">tend to fall into one of </w:t>
      </w:r>
      <w:r w:rsidRPr="00A47474">
        <w:rPr>
          <w:rFonts w:ascii="Times New Roman" w:eastAsia="Times New Roman" w:hAnsi="Times New Roman" w:cs="Times New Roman"/>
          <w:color w:val="000000"/>
          <w:kern w:val="0"/>
          <w14:ligatures w14:val="none"/>
        </w:rPr>
        <w:t xml:space="preserve">four broad </w:t>
      </w:r>
      <w:r w:rsidR="00F30166">
        <w:rPr>
          <w:rFonts w:ascii="Times New Roman" w:eastAsia="Times New Roman" w:hAnsi="Times New Roman" w:cs="Times New Roman"/>
          <w:color w:val="000000"/>
          <w:kern w:val="0"/>
          <w14:ligatures w14:val="none"/>
        </w:rPr>
        <w:t>schools</w:t>
      </w:r>
      <w:r w:rsidRPr="00A47474">
        <w:rPr>
          <w:rFonts w:ascii="Times New Roman" w:eastAsia="Times New Roman" w:hAnsi="Times New Roman" w:cs="Times New Roman"/>
          <w:color w:val="000000"/>
          <w:kern w:val="0"/>
          <w14:ligatures w14:val="none"/>
        </w:rPr>
        <w:t>: </w:t>
      </w:r>
      <w:r w:rsidR="0025103D">
        <w:rPr>
          <w:rFonts w:ascii="Times New Roman" w:eastAsia="Times New Roman" w:hAnsi="Times New Roman" w:cs="Times New Roman"/>
          <w:color w:val="000000"/>
          <w:kern w:val="0"/>
          <w14:ligatures w14:val="none"/>
        </w:rPr>
        <w:t>h</w:t>
      </w:r>
      <w:r w:rsidRPr="00C81B0C">
        <w:rPr>
          <w:rFonts w:ascii="Times New Roman" w:eastAsia="Times New Roman" w:hAnsi="Times New Roman" w:cs="Times New Roman"/>
          <w:color w:val="000000"/>
          <w:kern w:val="0"/>
          <w14:ligatures w14:val="none"/>
        </w:rPr>
        <w:t xml:space="preserve">istorical </w:t>
      </w:r>
      <w:r w:rsidR="0025103D">
        <w:rPr>
          <w:rFonts w:ascii="Times New Roman" w:eastAsia="Times New Roman" w:hAnsi="Times New Roman" w:cs="Times New Roman"/>
          <w:color w:val="000000"/>
          <w:kern w:val="0"/>
          <w14:ligatures w14:val="none"/>
        </w:rPr>
        <w:t>g</w:t>
      </w:r>
      <w:r w:rsidRPr="00C81B0C">
        <w:rPr>
          <w:rFonts w:ascii="Times New Roman" w:eastAsia="Times New Roman" w:hAnsi="Times New Roman" w:cs="Times New Roman"/>
          <w:color w:val="000000"/>
          <w:kern w:val="0"/>
          <w14:ligatures w14:val="none"/>
        </w:rPr>
        <w:t>rievances, </w:t>
      </w:r>
      <w:r w:rsidR="0025103D">
        <w:rPr>
          <w:rFonts w:ascii="Times New Roman" w:eastAsia="Times New Roman" w:hAnsi="Times New Roman" w:cs="Times New Roman"/>
          <w:color w:val="000000"/>
          <w:kern w:val="0"/>
          <w14:ligatures w14:val="none"/>
        </w:rPr>
        <w:t>r</w:t>
      </w:r>
      <w:r w:rsidRPr="00C81B0C">
        <w:rPr>
          <w:rFonts w:ascii="Times New Roman" w:eastAsia="Times New Roman" w:hAnsi="Times New Roman" w:cs="Times New Roman"/>
          <w:color w:val="000000"/>
          <w:kern w:val="0"/>
          <w14:ligatures w14:val="none"/>
        </w:rPr>
        <w:t xml:space="preserve">ecent </w:t>
      </w:r>
      <w:r w:rsidR="0025103D">
        <w:rPr>
          <w:rFonts w:ascii="Times New Roman" w:eastAsia="Times New Roman" w:hAnsi="Times New Roman" w:cs="Times New Roman"/>
          <w:color w:val="000000"/>
          <w:kern w:val="0"/>
          <w14:ligatures w14:val="none"/>
        </w:rPr>
        <w:t>g</w:t>
      </w:r>
      <w:r w:rsidRPr="00C81B0C">
        <w:rPr>
          <w:rFonts w:ascii="Times New Roman" w:eastAsia="Times New Roman" w:hAnsi="Times New Roman" w:cs="Times New Roman"/>
          <w:color w:val="000000"/>
          <w:kern w:val="0"/>
          <w14:ligatures w14:val="none"/>
        </w:rPr>
        <w:t>rievances, </w:t>
      </w:r>
      <w:r w:rsidR="0025103D">
        <w:rPr>
          <w:rFonts w:ascii="Times New Roman" w:eastAsia="Times New Roman" w:hAnsi="Times New Roman" w:cs="Times New Roman"/>
          <w:color w:val="000000"/>
          <w:kern w:val="0"/>
          <w14:ligatures w14:val="none"/>
        </w:rPr>
        <w:t>p</w:t>
      </w:r>
      <w:r w:rsidRPr="00C81B0C">
        <w:rPr>
          <w:rFonts w:ascii="Times New Roman" w:eastAsia="Times New Roman" w:hAnsi="Times New Roman" w:cs="Times New Roman"/>
          <w:color w:val="000000"/>
          <w:kern w:val="0"/>
          <w14:ligatures w14:val="none"/>
        </w:rPr>
        <w:t xml:space="preserve">olitical </w:t>
      </w:r>
      <w:r w:rsidR="0025103D">
        <w:rPr>
          <w:rFonts w:ascii="Times New Roman" w:eastAsia="Times New Roman" w:hAnsi="Times New Roman" w:cs="Times New Roman"/>
          <w:color w:val="000000"/>
          <w:kern w:val="0"/>
          <w14:ligatures w14:val="none"/>
        </w:rPr>
        <w:t>o</w:t>
      </w:r>
      <w:r w:rsidRPr="00C81B0C">
        <w:rPr>
          <w:rFonts w:ascii="Times New Roman" w:eastAsia="Times New Roman" w:hAnsi="Times New Roman" w:cs="Times New Roman"/>
          <w:color w:val="000000"/>
          <w:kern w:val="0"/>
          <w14:ligatures w14:val="none"/>
        </w:rPr>
        <w:t>pportunity, and </w:t>
      </w:r>
      <w:r w:rsidR="0025103D">
        <w:rPr>
          <w:rFonts w:ascii="Times New Roman" w:eastAsia="Times New Roman" w:hAnsi="Times New Roman" w:cs="Times New Roman"/>
          <w:color w:val="000000"/>
          <w:kern w:val="0"/>
          <w14:ligatures w14:val="none"/>
        </w:rPr>
        <w:t>r</w:t>
      </w:r>
      <w:r w:rsidRPr="00C81B0C">
        <w:rPr>
          <w:rFonts w:ascii="Times New Roman" w:eastAsia="Times New Roman" w:hAnsi="Times New Roman" w:cs="Times New Roman"/>
          <w:color w:val="000000"/>
          <w:kern w:val="0"/>
          <w14:ligatures w14:val="none"/>
        </w:rPr>
        <w:t xml:space="preserve">esource </w:t>
      </w:r>
      <w:r w:rsidR="0025103D">
        <w:rPr>
          <w:rFonts w:ascii="Times New Roman" w:eastAsia="Times New Roman" w:hAnsi="Times New Roman" w:cs="Times New Roman"/>
          <w:color w:val="000000"/>
          <w:kern w:val="0"/>
          <w14:ligatures w14:val="none"/>
        </w:rPr>
        <w:t>m</w:t>
      </w:r>
      <w:r w:rsidRPr="00C81B0C">
        <w:rPr>
          <w:rFonts w:ascii="Times New Roman" w:eastAsia="Times New Roman" w:hAnsi="Times New Roman" w:cs="Times New Roman"/>
          <w:color w:val="000000"/>
          <w:kern w:val="0"/>
          <w14:ligatures w14:val="none"/>
        </w:rPr>
        <w:t>obilization</w:t>
      </w:r>
      <w:r w:rsidRPr="00A47474">
        <w:rPr>
          <w:rFonts w:ascii="Times New Roman" w:eastAsia="Times New Roman" w:hAnsi="Times New Roman" w:cs="Times New Roman"/>
          <w:color w:val="000000"/>
          <w:kern w:val="0"/>
          <w14:ligatures w14:val="none"/>
        </w:rPr>
        <w:t>. Some argue that deep-rooted historical injustices, such as lost autonomy</w:t>
      </w:r>
      <w:r w:rsidR="009A0238">
        <w:rPr>
          <w:rFonts w:ascii="Times New Roman" w:eastAsia="Times New Roman" w:hAnsi="Times New Roman" w:cs="Times New Roman"/>
          <w:color w:val="000000"/>
          <w:kern w:val="0"/>
          <w14:ligatures w14:val="none"/>
        </w:rPr>
        <w:t>,</w:t>
      </w:r>
      <w:r w:rsidRPr="00A47474">
        <w:rPr>
          <w:rFonts w:ascii="Times New Roman" w:eastAsia="Times New Roman" w:hAnsi="Times New Roman" w:cs="Times New Roman"/>
          <w:color w:val="000000"/>
          <w:kern w:val="0"/>
          <w14:ligatures w14:val="none"/>
        </w:rPr>
        <w:t xml:space="preserve"> colonial subjugation</w:t>
      </w:r>
      <w:r w:rsidR="009A0238">
        <w:rPr>
          <w:rFonts w:ascii="Times New Roman" w:eastAsia="Times New Roman" w:hAnsi="Times New Roman" w:cs="Times New Roman"/>
          <w:color w:val="000000"/>
          <w:kern w:val="0"/>
          <w14:ligatures w14:val="none"/>
        </w:rPr>
        <w:t xml:space="preserve"> or the imposition of direct rule</w:t>
      </w:r>
      <w:r w:rsidRPr="00A47474">
        <w:rPr>
          <w:rFonts w:ascii="Times New Roman" w:eastAsia="Times New Roman" w:hAnsi="Times New Roman" w:cs="Times New Roman"/>
          <w:color w:val="000000"/>
          <w:kern w:val="0"/>
          <w14:ligatures w14:val="none"/>
        </w:rPr>
        <w:t>, generate long-term identity-based claims (</w:t>
      </w:r>
      <w:r w:rsidR="009A0238">
        <w:rPr>
          <w:rFonts w:ascii="Times New Roman" w:eastAsia="Times New Roman" w:hAnsi="Times New Roman" w:cs="Times New Roman"/>
          <w:color w:val="000000"/>
          <w:kern w:val="0"/>
          <w14:ligatures w14:val="none"/>
        </w:rPr>
        <w:t xml:space="preserve">Hechter </w:t>
      </w:r>
      <w:r w:rsidR="00010097">
        <w:rPr>
          <w:rFonts w:ascii="Times New Roman" w:eastAsia="Times New Roman" w:hAnsi="Times New Roman" w:cs="Times New Roman"/>
          <w:color w:val="000000"/>
          <w:kern w:val="0"/>
          <w14:ligatures w14:val="none"/>
        </w:rPr>
        <w:t>2000; Mamdani</w:t>
      </w:r>
      <w:r w:rsidR="00F46B66">
        <w:rPr>
          <w:rFonts w:ascii="Times New Roman" w:eastAsia="Times New Roman" w:hAnsi="Times New Roman" w:cs="Times New Roman"/>
          <w:color w:val="000000"/>
          <w:kern w:val="0"/>
          <w14:ligatures w14:val="none"/>
        </w:rPr>
        <w:t xml:space="preserve"> 2001; </w:t>
      </w:r>
      <w:r w:rsidRPr="00A47474">
        <w:rPr>
          <w:rFonts w:ascii="Times New Roman" w:eastAsia="Times New Roman" w:hAnsi="Times New Roman" w:cs="Times New Roman"/>
          <w:color w:val="000000"/>
          <w:kern w:val="0"/>
          <w14:ligatures w14:val="none"/>
        </w:rPr>
        <w:t>Toft 2003; Wimmer 2013</w:t>
      </w:r>
      <w:r w:rsidR="00F30166">
        <w:rPr>
          <w:rFonts w:ascii="Times New Roman" w:eastAsia="Times New Roman" w:hAnsi="Times New Roman" w:cs="Times New Roman"/>
          <w:color w:val="000000"/>
          <w:kern w:val="0"/>
          <w14:ligatures w14:val="none"/>
        </w:rPr>
        <w:t>; Siroky and Cuffe 2015</w:t>
      </w:r>
      <w:r w:rsidRPr="00A47474">
        <w:rPr>
          <w:rFonts w:ascii="Times New Roman" w:eastAsia="Times New Roman" w:hAnsi="Times New Roman" w:cs="Times New Roman"/>
          <w:color w:val="000000"/>
          <w:kern w:val="0"/>
          <w14:ligatures w14:val="none"/>
        </w:rPr>
        <w:t xml:space="preserve">). </w:t>
      </w:r>
      <w:r w:rsidR="00411FC9" w:rsidRPr="00057A94">
        <w:rPr>
          <w:rFonts w:ascii="Times New Roman" w:eastAsia="Times New Roman" w:hAnsi="Times New Roman" w:cs="Times New Roman"/>
          <w:color w:val="0E0E0E"/>
          <w:kern w:val="0"/>
          <w14:ligatures w14:val="none"/>
        </w:rPr>
        <w:t>Other scholars emphasize more proximate grievances</w:t>
      </w:r>
      <w:r w:rsidR="00411FC9" w:rsidRPr="00057A94">
        <w:rPr>
          <w:rFonts w:ascii="Times New Roman" w:eastAsia="Times New Roman" w:hAnsi="Times New Roman" w:cs="Times New Roman" w:hint="eastAsia"/>
          <w:color w:val="0E0E0E"/>
          <w:kern w:val="0"/>
          <w14:ligatures w14:val="none"/>
        </w:rPr>
        <w:t>—</w:t>
      </w:r>
      <w:r w:rsidR="00411FC9" w:rsidRPr="00057A94">
        <w:rPr>
          <w:rFonts w:ascii="Times New Roman" w:eastAsia="Times New Roman" w:hAnsi="Times New Roman" w:cs="Times New Roman"/>
          <w:color w:val="0E0E0E"/>
          <w:kern w:val="0"/>
          <w14:ligatures w14:val="none"/>
        </w:rPr>
        <w:t>such as repression, economic exclusion, or political marginalization</w:t>
      </w:r>
      <w:r w:rsidR="00411FC9" w:rsidRPr="00057A94">
        <w:rPr>
          <w:rFonts w:ascii="Times New Roman" w:eastAsia="Times New Roman" w:hAnsi="Times New Roman" w:cs="Times New Roman" w:hint="eastAsia"/>
          <w:color w:val="0E0E0E"/>
          <w:kern w:val="0"/>
          <w14:ligatures w14:val="none"/>
        </w:rPr>
        <w:t>—</w:t>
      </w:r>
      <w:r w:rsidR="00411FC9" w:rsidRPr="00057A94">
        <w:rPr>
          <w:rFonts w:ascii="Times New Roman" w:eastAsia="Times New Roman" w:hAnsi="Times New Roman" w:cs="Times New Roman"/>
          <w:color w:val="0E0E0E"/>
          <w:kern w:val="0"/>
          <w14:ligatures w14:val="none"/>
        </w:rPr>
        <w:t>as triggers for collective action (Gurr 1993;</w:t>
      </w:r>
      <w:r w:rsidR="00B21914">
        <w:rPr>
          <w:rFonts w:ascii="Times New Roman" w:eastAsia="Times New Roman" w:hAnsi="Times New Roman" w:cs="Times New Roman"/>
          <w:color w:val="0E0E0E"/>
          <w:kern w:val="0"/>
          <w14:ligatures w14:val="none"/>
        </w:rPr>
        <w:t xml:space="preserve"> Petersen 200</w:t>
      </w:r>
      <w:r w:rsidR="00345905">
        <w:rPr>
          <w:rFonts w:ascii="Times New Roman" w:eastAsia="Times New Roman" w:hAnsi="Times New Roman" w:cs="Times New Roman"/>
          <w:color w:val="0E0E0E"/>
          <w:kern w:val="0"/>
          <w14:ligatures w14:val="none"/>
        </w:rPr>
        <w:t>2</w:t>
      </w:r>
      <w:r w:rsidR="00B21914">
        <w:rPr>
          <w:rFonts w:ascii="Times New Roman" w:eastAsia="Times New Roman" w:hAnsi="Times New Roman" w:cs="Times New Roman"/>
          <w:color w:val="0E0E0E"/>
          <w:kern w:val="0"/>
          <w14:ligatures w14:val="none"/>
        </w:rPr>
        <w:t xml:space="preserve">; </w:t>
      </w:r>
      <w:r w:rsidR="00F46B66">
        <w:rPr>
          <w:rFonts w:ascii="Times New Roman" w:eastAsia="Times New Roman" w:hAnsi="Times New Roman" w:cs="Times New Roman"/>
          <w:color w:val="0E0E0E"/>
          <w:kern w:val="0"/>
          <w14:ligatures w14:val="none"/>
        </w:rPr>
        <w:t xml:space="preserve">Wood 2003; </w:t>
      </w:r>
      <w:r w:rsidR="00B21914">
        <w:rPr>
          <w:rFonts w:ascii="Times New Roman" w:eastAsia="Times New Roman" w:hAnsi="Times New Roman" w:cs="Times New Roman"/>
          <w:color w:val="0E0E0E"/>
          <w:kern w:val="0"/>
          <w14:ligatures w14:val="none"/>
        </w:rPr>
        <w:t>Stewart 2008;</w:t>
      </w:r>
      <w:r w:rsidR="00411FC9" w:rsidRPr="00057A94">
        <w:rPr>
          <w:rFonts w:ascii="Times New Roman" w:eastAsia="Times New Roman" w:hAnsi="Times New Roman" w:cs="Times New Roman"/>
          <w:color w:val="0E0E0E"/>
          <w:kern w:val="0"/>
          <w14:ligatures w14:val="none"/>
        </w:rPr>
        <w:t xml:space="preserve"> </w:t>
      </w:r>
      <w:r w:rsidR="001A20CA" w:rsidRPr="001A20CA">
        <w:rPr>
          <w:rFonts w:asciiTheme="majorBidi" w:eastAsia="Times New Roman" w:hAnsiTheme="majorBidi" w:cstheme="majorBidi"/>
          <w:color w:val="0E0E0E"/>
          <w:kern w:val="0"/>
          <w14:ligatures w14:val="none"/>
        </w:rPr>
        <w:t>Chenoweth</w:t>
      </w:r>
      <w:r w:rsidR="001A20CA">
        <w:rPr>
          <w:rFonts w:ascii="Times New Roman" w:eastAsia="Times New Roman" w:hAnsi="Times New Roman" w:cs="Times New Roman"/>
          <w:color w:val="0E0E0E"/>
          <w:kern w:val="0"/>
          <w14:ligatures w14:val="none"/>
        </w:rPr>
        <w:t xml:space="preserve"> </w:t>
      </w:r>
      <w:r w:rsidR="00B21914">
        <w:rPr>
          <w:rFonts w:ascii="Times New Roman" w:eastAsia="Times New Roman" w:hAnsi="Times New Roman" w:cs="Times New Roman"/>
          <w:color w:val="0E0E0E"/>
          <w:kern w:val="0"/>
          <w14:ligatures w14:val="none"/>
        </w:rPr>
        <w:t xml:space="preserve">and Stephan 2011; </w:t>
      </w:r>
      <w:r w:rsidR="000875F5" w:rsidRPr="000875F5">
        <w:rPr>
          <w:rFonts w:asciiTheme="majorBidi" w:eastAsia="Times New Roman" w:hAnsiTheme="majorBidi" w:cstheme="majorBidi"/>
          <w:color w:val="0E0E0E"/>
          <w:kern w:val="0"/>
          <w14:ligatures w14:val="none"/>
        </w:rPr>
        <w:t>Cederman</w:t>
      </w:r>
      <w:r w:rsidR="000875F5" w:rsidRPr="00057A94">
        <w:rPr>
          <w:rFonts w:ascii="Times New Roman" w:eastAsia="Times New Roman" w:hAnsi="Times New Roman" w:cs="Times New Roman"/>
          <w:color w:val="0E0E0E"/>
          <w:kern w:val="0"/>
          <w14:ligatures w14:val="none"/>
        </w:rPr>
        <w:t xml:space="preserve"> </w:t>
      </w:r>
      <w:r w:rsidR="00411FC9" w:rsidRPr="00057A94">
        <w:rPr>
          <w:rFonts w:ascii="Times New Roman" w:eastAsia="Times New Roman" w:hAnsi="Times New Roman" w:cs="Times New Roman"/>
          <w:color w:val="0E0E0E"/>
          <w:kern w:val="0"/>
          <w14:ligatures w14:val="none"/>
        </w:rPr>
        <w:t>et al. 20</w:t>
      </w:r>
      <w:r w:rsidR="000875F5">
        <w:rPr>
          <w:rFonts w:ascii="Times New Roman" w:eastAsia="Times New Roman" w:hAnsi="Times New Roman" w:cs="Times New Roman"/>
          <w:color w:val="0E0E0E"/>
          <w:kern w:val="0"/>
          <w14:ligatures w14:val="none"/>
        </w:rPr>
        <w:t>10</w:t>
      </w:r>
      <w:r w:rsidR="00411FC9" w:rsidRPr="00057A94">
        <w:rPr>
          <w:rFonts w:ascii="Times New Roman" w:eastAsia="Times New Roman" w:hAnsi="Times New Roman" w:cs="Times New Roman"/>
          <w:color w:val="0E0E0E"/>
          <w:kern w:val="0"/>
          <w14:ligatures w14:val="none"/>
        </w:rPr>
        <w:t>).</w:t>
      </w:r>
      <w:r w:rsidRPr="00A47474">
        <w:rPr>
          <w:rFonts w:ascii="Times New Roman" w:eastAsia="Times New Roman" w:hAnsi="Times New Roman" w:cs="Times New Roman"/>
          <w:color w:val="000000"/>
          <w:kern w:val="0"/>
          <w14:ligatures w14:val="none"/>
        </w:rPr>
        <w:t xml:space="preserve">Opportunity-based accounts argue that mobilization occurs when political openings, such as democratization or federalism, lower the cost of dissent (Tarrow 1998; </w:t>
      </w:r>
      <w:r w:rsidR="00F46B66">
        <w:rPr>
          <w:rFonts w:ascii="Times New Roman" w:eastAsia="Times New Roman" w:hAnsi="Times New Roman" w:cs="Times New Roman"/>
          <w:color w:val="000000"/>
          <w:kern w:val="0"/>
          <w14:ligatures w14:val="none"/>
        </w:rPr>
        <w:t xml:space="preserve">Goodwin and Jasper 1999; </w:t>
      </w:r>
      <w:r w:rsidRPr="00A47474">
        <w:rPr>
          <w:rFonts w:ascii="Times New Roman" w:eastAsia="Times New Roman" w:hAnsi="Times New Roman" w:cs="Times New Roman"/>
          <w:color w:val="000000"/>
          <w:kern w:val="0"/>
          <w14:ligatures w14:val="none"/>
        </w:rPr>
        <w:t>McAdam et al. 2001). Finally, resource mobilization theories highlight organizational capacity and elite leadership as prerequisites for sustained contention (</w:t>
      </w:r>
      <w:r w:rsidR="00F46B66">
        <w:rPr>
          <w:rFonts w:ascii="Times New Roman" w:eastAsia="Times New Roman" w:hAnsi="Times New Roman" w:cs="Times New Roman"/>
          <w:color w:val="000000"/>
          <w:kern w:val="0"/>
          <w14:ligatures w14:val="none"/>
        </w:rPr>
        <w:t xml:space="preserve">Olson 1965; </w:t>
      </w:r>
      <w:r w:rsidR="009F52E9">
        <w:rPr>
          <w:rFonts w:ascii="Times New Roman" w:eastAsia="Times New Roman" w:hAnsi="Times New Roman" w:cs="Times New Roman"/>
          <w:color w:val="000000"/>
          <w:kern w:val="0"/>
          <w14:ligatures w14:val="none"/>
        </w:rPr>
        <w:t xml:space="preserve">Tilly 1978; </w:t>
      </w:r>
      <w:r w:rsidRPr="00A47474">
        <w:rPr>
          <w:rFonts w:ascii="Times New Roman" w:eastAsia="Times New Roman" w:hAnsi="Times New Roman" w:cs="Times New Roman"/>
          <w:color w:val="000000"/>
          <w:kern w:val="0"/>
          <w14:ligatures w14:val="none"/>
        </w:rPr>
        <w:t>Fearon and Laitin 2003; Staniland 2014).</w:t>
      </w:r>
    </w:p>
    <w:p w14:paraId="1C44E1F5" w14:textId="367DEF16" w:rsidR="00A47474" w:rsidRPr="00A47474" w:rsidRDefault="00A47474"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color w:val="000000"/>
          <w:kern w:val="0"/>
          <w14:ligatures w14:val="none"/>
        </w:rPr>
        <w:t xml:space="preserve">These theories are often invoked to explain </w:t>
      </w:r>
      <w:r w:rsidR="00EA44CC">
        <w:rPr>
          <w:rFonts w:ascii="Times New Roman" w:eastAsia="Times New Roman" w:hAnsi="Times New Roman" w:cs="Times New Roman"/>
          <w:color w:val="000000"/>
          <w:kern w:val="0"/>
          <w14:ligatures w14:val="none"/>
        </w:rPr>
        <w:t>either</w:t>
      </w:r>
      <w:r w:rsidRPr="00A47474">
        <w:rPr>
          <w:rFonts w:ascii="Times New Roman" w:eastAsia="Times New Roman" w:hAnsi="Times New Roman" w:cs="Times New Roman"/>
          <w:color w:val="000000"/>
          <w:kern w:val="0"/>
          <w14:ligatures w14:val="none"/>
        </w:rPr>
        <w:t xml:space="preserve"> the </w:t>
      </w:r>
      <w:r w:rsidRPr="00077397">
        <w:rPr>
          <w:rFonts w:ascii="Times New Roman" w:eastAsia="Times New Roman" w:hAnsi="Times New Roman" w:cs="Times New Roman"/>
          <w:color w:val="000000"/>
          <w:kern w:val="0"/>
          <w14:ligatures w14:val="none"/>
        </w:rPr>
        <w:t>onset </w:t>
      </w:r>
      <w:r w:rsidR="00EA44CC">
        <w:rPr>
          <w:rFonts w:ascii="Times New Roman" w:eastAsia="Times New Roman" w:hAnsi="Times New Roman" w:cs="Times New Roman"/>
          <w:i/>
          <w:iCs/>
          <w:color w:val="000000"/>
          <w:kern w:val="0"/>
          <w14:ligatures w14:val="none"/>
        </w:rPr>
        <w:t>or</w:t>
      </w:r>
      <w:r w:rsidRPr="00077397">
        <w:rPr>
          <w:rFonts w:ascii="Times New Roman" w:eastAsia="Times New Roman" w:hAnsi="Times New Roman" w:cs="Times New Roman"/>
          <w:color w:val="000000"/>
          <w:kern w:val="0"/>
          <w14:ligatures w14:val="none"/>
        </w:rPr>
        <w:t> escalation</w:t>
      </w:r>
      <w:r w:rsidRPr="00A47474">
        <w:rPr>
          <w:rFonts w:ascii="Times New Roman" w:eastAsia="Times New Roman" w:hAnsi="Times New Roman" w:cs="Times New Roman"/>
          <w:color w:val="000000"/>
          <w:kern w:val="0"/>
          <w14:ligatures w14:val="none"/>
        </w:rPr>
        <w:t xml:space="preserve"> of self-determination </w:t>
      </w:r>
      <w:r w:rsidR="00CF0B68" w:rsidRPr="00A47474">
        <w:rPr>
          <w:rFonts w:ascii="Times New Roman" w:eastAsia="Times New Roman" w:hAnsi="Times New Roman" w:cs="Times New Roman"/>
          <w:color w:val="000000"/>
          <w:kern w:val="0"/>
          <w14:ligatures w14:val="none"/>
        </w:rPr>
        <w:t>movements</w:t>
      </w:r>
      <w:r w:rsidRPr="00A47474">
        <w:rPr>
          <w:rFonts w:ascii="Times New Roman" w:eastAsia="Times New Roman" w:hAnsi="Times New Roman" w:cs="Times New Roman"/>
          <w:color w:val="000000"/>
          <w:kern w:val="0"/>
          <w14:ligatures w14:val="none"/>
        </w:rPr>
        <w:t xml:space="preserve">. Some studies find that </w:t>
      </w:r>
      <w:r w:rsidR="00F46B66">
        <w:rPr>
          <w:rFonts w:ascii="Times New Roman" w:eastAsia="Times New Roman" w:hAnsi="Times New Roman" w:cs="Times New Roman"/>
          <w:color w:val="000000"/>
          <w:kern w:val="0"/>
          <w14:ligatures w14:val="none"/>
        </w:rPr>
        <w:t>grievances—</w:t>
      </w:r>
      <w:r w:rsidR="007110E8">
        <w:rPr>
          <w:rFonts w:ascii="Times New Roman" w:eastAsia="Times New Roman" w:hAnsi="Times New Roman" w:cs="Times New Roman"/>
          <w:color w:val="000000"/>
          <w:kern w:val="0"/>
          <w14:ligatures w14:val="none"/>
        </w:rPr>
        <w:t xml:space="preserve">recent </w:t>
      </w:r>
      <w:r w:rsidRPr="00A47474">
        <w:rPr>
          <w:rFonts w:ascii="Times New Roman" w:eastAsia="Times New Roman" w:hAnsi="Times New Roman" w:cs="Times New Roman"/>
          <w:color w:val="000000"/>
          <w:kern w:val="0"/>
          <w14:ligatures w14:val="none"/>
        </w:rPr>
        <w:t>ethnic exclusion</w:t>
      </w:r>
      <w:r w:rsidR="00F46B66">
        <w:rPr>
          <w:rFonts w:ascii="Times New Roman" w:eastAsia="Times New Roman" w:hAnsi="Times New Roman" w:cs="Times New Roman"/>
          <w:color w:val="000000"/>
          <w:kern w:val="0"/>
          <w14:ligatures w14:val="none"/>
        </w:rPr>
        <w:t>—</w:t>
      </w:r>
      <w:r w:rsidRPr="00A47474">
        <w:rPr>
          <w:rFonts w:ascii="Times New Roman" w:eastAsia="Times New Roman" w:hAnsi="Times New Roman" w:cs="Times New Roman"/>
          <w:color w:val="000000"/>
          <w:kern w:val="0"/>
          <w14:ligatures w14:val="none"/>
        </w:rPr>
        <w:t xml:space="preserve">predict mobilization violence (Cederman et al. 2010), while others emphasize how federalism </w:t>
      </w:r>
      <w:r w:rsidR="00F46B66">
        <w:rPr>
          <w:rFonts w:ascii="Times New Roman" w:eastAsia="Times New Roman" w:hAnsi="Times New Roman" w:cs="Times New Roman"/>
          <w:color w:val="000000"/>
          <w:kern w:val="0"/>
          <w14:ligatures w14:val="none"/>
        </w:rPr>
        <w:t>and</w:t>
      </w:r>
      <w:r w:rsidR="00F46B66" w:rsidRPr="00A47474">
        <w:rPr>
          <w:rFonts w:ascii="Times New Roman" w:eastAsia="Times New Roman" w:hAnsi="Times New Roman" w:cs="Times New Roman"/>
          <w:color w:val="000000"/>
          <w:kern w:val="0"/>
          <w14:ligatures w14:val="none"/>
        </w:rPr>
        <w:t xml:space="preserve"> </w:t>
      </w:r>
      <w:r w:rsidRPr="00A47474">
        <w:rPr>
          <w:rFonts w:ascii="Times New Roman" w:eastAsia="Times New Roman" w:hAnsi="Times New Roman" w:cs="Times New Roman"/>
          <w:color w:val="000000"/>
          <w:kern w:val="0"/>
          <w14:ligatures w14:val="none"/>
        </w:rPr>
        <w:t xml:space="preserve">democratization </w:t>
      </w:r>
      <w:r w:rsidR="000E0527">
        <w:rPr>
          <w:rFonts w:ascii="Times New Roman" w:eastAsia="Times New Roman" w:hAnsi="Times New Roman" w:cs="Times New Roman"/>
          <w:color w:val="000000"/>
          <w:kern w:val="0"/>
          <w14:ligatures w14:val="none"/>
        </w:rPr>
        <w:t xml:space="preserve">as indicators of political opportunity model </w:t>
      </w:r>
      <w:r w:rsidRPr="00A47474">
        <w:rPr>
          <w:rFonts w:ascii="Times New Roman" w:eastAsia="Times New Roman" w:hAnsi="Times New Roman" w:cs="Times New Roman"/>
          <w:color w:val="000000"/>
          <w:kern w:val="0"/>
          <w14:ligatures w14:val="none"/>
        </w:rPr>
        <w:t>create</w:t>
      </w:r>
      <w:r w:rsidR="00F46B66">
        <w:rPr>
          <w:rFonts w:ascii="Times New Roman" w:eastAsia="Times New Roman" w:hAnsi="Times New Roman" w:cs="Times New Roman"/>
          <w:color w:val="000000"/>
          <w:kern w:val="0"/>
          <w14:ligatures w14:val="none"/>
        </w:rPr>
        <w:t xml:space="preserve"> </w:t>
      </w:r>
      <w:r w:rsidRPr="00A47474">
        <w:rPr>
          <w:rFonts w:ascii="Times New Roman" w:eastAsia="Times New Roman" w:hAnsi="Times New Roman" w:cs="Times New Roman"/>
          <w:color w:val="000000"/>
          <w:kern w:val="0"/>
          <w14:ligatures w14:val="none"/>
        </w:rPr>
        <w:t>incentives for rebellion</w:t>
      </w:r>
      <w:r w:rsidR="002813F6">
        <w:rPr>
          <w:rFonts w:ascii="Times New Roman" w:eastAsia="Times New Roman" w:hAnsi="Times New Roman" w:cs="Times New Roman"/>
          <w:color w:val="000000"/>
          <w:kern w:val="0"/>
          <w14:ligatures w14:val="none"/>
        </w:rPr>
        <w:t xml:space="preserve"> and escalation</w:t>
      </w:r>
      <w:r w:rsidRPr="00A47474">
        <w:rPr>
          <w:rFonts w:ascii="Times New Roman" w:eastAsia="Times New Roman" w:hAnsi="Times New Roman" w:cs="Times New Roman"/>
          <w:color w:val="000000"/>
          <w:kern w:val="0"/>
          <w14:ligatures w14:val="none"/>
        </w:rPr>
        <w:t xml:space="preserve"> (</w:t>
      </w:r>
      <w:r w:rsidR="00E91812" w:rsidRPr="00B87E9A">
        <w:rPr>
          <w:rFonts w:asciiTheme="majorBidi" w:eastAsia="Times New Roman" w:hAnsiTheme="majorBidi" w:cstheme="majorBidi"/>
          <w:color w:val="0E0E0E"/>
          <w:kern w:val="0"/>
          <w14:ligatures w14:val="none"/>
        </w:rPr>
        <w:t>Chapman</w:t>
      </w:r>
      <w:r w:rsidR="00E91812">
        <w:rPr>
          <w:rFonts w:asciiTheme="majorBidi" w:eastAsia="Times New Roman" w:hAnsiTheme="majorBidi" w:cstheme="majorBidi"/>
          <w:color w:val="0E0E0E"/>
          <w:kern w:val="0"/>
          <w14:ligatures w14:val="none"/>
        </w:rPr>
        <w:t xml:space="preserve"> et al</w:t>
      </w:r>
      <w:r w:rsidR="00E91812" w:rsidRPr="00B87E9A">
        <w:rPr>
          <w:rFonts w:asciiTheme="majorBidi" w:eastAsia="Times New Roman" w:hAnsiTheme="majorBidi" w:cstheme="majorBidi"/>
          <w:color w:val="0E0E0E"/>
          <w:kern w:val="0"/>
          <w14:ligatures w14:val="none"/>
        </w:rPr>
        <w:t>.</w:t>
      </w:r>
      <w:r w:rsidR="00E91812">
        <w:rPr>
          <w:rFonts w:asciiTheme="majorBidi" w:eastAsia="Times New Roman" w:hAnsiTheme="majorBidi" w:cstheme="majorBidi"/>
          <w:color w:val="0E0E0E"/>
          <w:kern w:val="0"/>
          <w14:ligatures w14:val="none"/>
        </w:rPr>
        <w:t xml:space="preserve"> 2007</w:t>
      </w:r>
      <w:r w:rsidRPr="00A47474">
        <w:rPr>
          <w:rFonts w:ascii="Times New Roman" w:eastAsia="Times New Roman" w:hAnsi="Times New Roman" w:cs="Times New Roman"/>
          <w:color w:val="000000"/>
          <w:kern w:val="0"/>
          <w14:ligatures w14:val="none"/>
        </w:rPr>
        <w:t xml:space="preserve">). Yet no study systematically compares the predictive performance </w:t>
      </w:r>
      <w:r w:rsidR="0025103D">
        <w:rPr>
          <w:rFonts w:ascii="Times New Roman" w:eastAsia="Times New Roman" w:hAnsi="Times New Roman" w:cs="Times New Roman"/>
          <w:color w:val="000000"/>
          <w:kern w:val="0"/>
          <w14:ligatures w14:val="none"/>
        </w:rPr>
        <w:t xml:space="preserve">of these theories </w:t>
      </w:r>
      <w:r w:rsidRPr="00A47474">
        <w:rPr>
          <w:rFonts w:ascii="Times New Roman" w:eastAsia="Times New Roman" w:hAnsi="Times New Roman" w:cs="Times New Roman"/>
          <w:color w:val="000000"/>
          <w:kern w:val="0"/>
          <w14:ligatures w14:val="none"/>
        </w:rPr>
        <w:t>across both stages using out-of-sample accuracy</w:t>
      </w:r>
      <w:r w:rsidR="00F46B66">
        <w:rPr>
          <w:rFonts w:ascii="Times New Roman" w:eastAsia="Times New Roman" w:hAnsi="Times New Roman" w:cs="Times New Roman"/>
          <w:color w:val="000000"/>
          <w:kern w:val="0"/>
          <w14:ligatures w14:val="none"/>
        </w:rPr>
        <w:t xml:space="preserve"> to adjudicate between them</w:t>
      </w:r>
      <w:r w:rsidRPr="00A47474">
        <w:rPr>
          <w:rFonts w:ascii="Times New Roman" w:eastAsia="Times New Roman" w:hAnsi="Times New Roman" w:cs="Times New Roman"/>
          <w:color w:val="000000"/>
          <w:kern w:val="0"/>
          <w14:ligatures w14:val="none"/>
        </w:rPr>
        <w:t>.</w:t>
      </w:r>
    </w:p>
    <w:p w14:paraId="405624F2" w14:textId="03745A50" w:rsidR="00A47474" w:rsidRPr="00A47474" w:rsidRDefault="00A47474" w:rsidP="00314245">
      <w:pPr>
        <w:spacing w:before="100" w:beforeAutospacing="1" w:after="100" w:afterAutospacing="1"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color w:val="000000"/>
          <w:kern w:val="0"/>
          <w14:ligatures w14:val="none"/>
        </w:rPr>
        <w:t xml:space="preserve">Moreover, traditional regression-based studies face two </w:t>
      </w:r>
      <w:r w:rsidR="0094216D">
        <w:rPr>
          <w:rFonts w:ascii="Times New Roman" w:eastAsia="Times New Roman" w:hAnsi="Times New Roman" w:cs="Times New Roman"/>
          <w:color w:val="000000"/>
          <w:kern w:val="0"/>
          <w14:ligatures w14:val="none"/>
        </w:rPr>
        <w:t xml:space="preserve">widely recognized </w:t>
      </w:r>
      <w:r w:rsidRPr="00A47474">
        <w:rPr>
          <w:rFonts w:ascii="Times New Roman" w:eastAsia="Times New Roman" w:hAnsi="Times New Roman" w:cs="Times New Roman"/>
          <w:color w:val="000000"/>
          <w:kern w:val="0"/>
          <w14:ligatures w14:val="none"/>
        </w:rPr>
        <w:t xml:space="preserve">challenges. First, they rely on in-sample significance tests, which reward overfitting and obscure generalizability. Second, they assume linear and additive effects, </w:t>
      </w:r>
      <w:r w:rsidR="0094216D" w:rsidRPr="00A47474">
        <w:rPr>
          <w:rFonts w:ascii="Times New Roman" w:eastAsia="Times New Roman" w:hAnsi="Times New Roman" w:cs="Times New Roman"/>
          <w:color w:val="000000"/>
          <w:kern w:val="0"/>
          <w14:ligatures w14:val="none"/>
        </w:rPr>
        <w:t>disregarding</w:t>
      </w:r>
      <w:r w:rsidRPr="00A47474">
        <w:rPr>
          <w:rFonts w:ascii="Times New Roman" w:eastAsia="Times New Roman" w:hAnsi="Times New Roman" w:cs="Times New Roman"/>
          <w:color w:val="000000"/>
          <w:kern w:val="0"/>
          <w14:ligatures w14:val="none"/>
        </w:rPr>
        <w:t xml:space="preserve"> the </w:t>
      </w:r>
      <w:r w:rsidR="0094216D">
        <w:rPr>
          <w:rFonts w:ascii="Times New Roman" w:eastAsia="Times New Roman" w:hAnsi="Times New Roman" w:cs="Times New Roman"/>
          <w:color w:val="000000"/>
          <w:kern w:val="0"/>
          <w14:ligatures w14:val="none"/>
        </w:rPr>
        <w:t xml:space="preserve">very </w:t>
      </w:r>
      <w:r w:rsidRPr="00A47474">
        <w:rPr>
          <w:rFonts w:ascii="Times New Roman" w:eastAsia="Times New Roman" w:hAnsi="Times New Roman" w:cs="Times New Roman"/>
          <w:color w:val="000000"/>
          <w:kern w:val="0"/>
          <w14:ligatures w14:val="none"/>
        </w:rPr>
        <w:t>interaction structures that many theories posit.</w:t>
      </w:r>
      <w:r w:rsidR="00010097">
        <w:rPr>
          <w:rFonts w:ascii="Times New Roman" w:eastAsia="Times New Roman" w:hAnsi="Times New Roman" w:cs="Times New Roman"/>
          <w:color w:val="000000"/>
          <w:kern w:val="0"/>
          <w14:ligatures w14:val="none"/>
        </w:rPr>
        <w:t xml:space="preserve"> </w:t>
      </w:r>
      <w:r w:rsidRPr="00A47474">
        <w:rPr>
          <w:rFonts w:ascii="Times New Roman" w:eastAsia="Times New Roman" w:hAnsi="Times New Roman" w:cs="Times New Roman"/>
          <w:color w:val="000000"/>
          <w:kern w:val="0"/>
          <w14:ligatures w14:val="none"/>
        </w:rPr>
        <w:t xml:space="preserve">Machine learning classifiers, particularly tree-based models, offer a </w:t>
      </w:r>
      <w:r w:rsidR="0094216D">
        <w:rPr>
          <w:rFonts w:ascii="Times New Roman" w:eastAsia="Times New Roman" w:hAnsi="Times New Roman" w:cs="Times New Roman"/>
          <w:color w:val="000000"/>
          <w:kern w:val="0"/>
          <w14:ligatures w14:val="none"/>
        </w:rPr>
        <w:t xml:space="preserve">potential </w:t>
      </w:r>
      <w:r w:rsidRPr="00A47474">
        <w:rPr>
          <w:rFonts w:ascii="Times New Roman" w:eastAsia="Times New Roman" w:hAnsi="Times New Roman" w:cs="Times New Roman"/>
          <w:color w:val="000000"/>
          <w:kern w:val="0"/>
          <w14:ligatures w14:val="none"/>
        </w:rPr>
        <w:t>solution</w:t>
      </w:r>
      <w:r w:rsidR="0094216D">
        <w:rPr>
          <w:rFonts w:ascii="Times New Roman" w:eastAsia="Times New Roman" w:hAnsi="Times New Roman" w:cs="Times New Roman"/>
          <w:color w:val="000000"/>
          <w:kern w:val="0"/>
          <w14:ligatures w14:val="none"/>
        </w:rPr>
        <w:t xml:space="preserve"> (Montgomery and Olivella 2018)</w:t>
      </w:r>
      <w:r w:rsidRPr="00A47474">
        <w:rPr>
          <w:rFonts w:ascii="Times New Roman" w:eastAsia="Times New Roman" w:hAnsi="Times New Roman" w:cs="Times New Roman"/>
          <w:color w:val="000000"/>
          <w:kern w:val="0"/>
          <w14:ligatures w14:val="none"/>
        </w:rPr>
        <w:t xml:space="preserve">. They can test competing theoretical models </w:t>
      </w:r>
      <w:r w:rsidR="0094216D">
        <w:rPr>
          <w:rFonts w:ascii="Times New Roman" w:eastAsia="Times New Roman" w:hAnsi="Times New Roman" w:cs="Times New Roman"/>
          <w:color w:val="000000"/>
          <w:kern w:val="0"/>
          <w14:ligatures w14:val="none"/>
        </w:rPr>
        <w:t>with</w:t>
      </w:r>
      <w:r w:rsidRPr="00A47474">
        <w:rPr>
          <w:rFonts w:ascii="Times New Roman" w:eastAsia="Times New Roman" w:hAnsi="Times New Roman" w:cs="Times New Roman"/>
          <w:color w:val="000000"/>
          <w:kern w:val="0"/>
          <w14:ligatures w14:val="none"/>
        </w:rPr>
        <w:t>in a uniform predictive framework, recover complex interaction structures, and evaluate generalizability using cross-validation</w:t>
      </w:r>
      <w:r w:rsidR="00010097">
        <w:rPr>
          <w:rFonts w:ascii="Times New Roman" w:eastAsia="Times New Roman" w:hAnsi="Times New Roman" w:cs="Times New Roman"/>
          <w:color w:val="000000"/>
          <w:kern w:val="0"/>
          <w14:ligatures w14:val="none"/>
        </w:rPr>
        <w:t xml:space="preserve"> and out of sample test</w:t>
      </w:r>
      <w:r w:rsidR="0025103D">
        <w:rPr>
          <w:rFonts w:ascii="Times New Roman" w:eastAsia="Times New Roman" w:hAnsi="Times New Roman" w:cs="Times New Roman"/>
          <w:color w:val="000000"/>
          <w:kern w:val="0"/>
          <w14:ligatures w14:val="none"/>
        </w:rPr>
        <w:t>s</w:t>
      </w:r>
      <w:r w:rsidRPr="00A47474">
        <w:rPr>
          <w:rFonts w:ascii="Times New Roman" w:eastAsia="Times New Roman" w:hAnsi="Times New Roman" w:cs="Times New Roman"/>
          <w:color w:val="000000"/>
          <w:kern w:val="0"/>
          <w14:ligatures w14:val="none"/>
        </w:rPr>
        <w:t xml:space="preserve">. This allows </w:t>
      </w:r>
      <w:r w:rsidR="0094216D">
        <w:rPr>
          <w:rFonts w:ascii="Times New Roman" w:eastAsia="Times New Roman" w:hAnsi="Times New Roman" w:cs="Times New Roman"/>
          <w:color w:val="000000"/>
          <w:kern w:val="0"/>
          <w14:ligatures w14:val="none"/>
        </w:rPr>
        <w:t xml:space="preserve">scholars to </w:t>
      </w:r>
      <w:r w:rsidRPr="00A47474">
        <w:rPr>
          <w:rFonts w:ascii="Times New Roman" w:eastAsia="Times New Roman" w:hAnsi="Times New Roman" w:cs="Times New Roman"/>
          <w:color w:val="000000"/>
          <w:kern w:val="0"/>
          <w14:ligatures w14:val="none"/>
        </w:rPr>
        <w:t>rigorous</w:t>
      </w:r>
      <w:r w:rsidR="0094216D">
        <w:rPr>
          <w:rFonts w:ascii="Times New Roman" w:eastAsia="Times New Roman" w:hAnsi="Times New Roman" w:cs="Times New Roman"/>
          <w:color w:val="000000"/>
          <w:kern w:val="0"/>
          <w14:ligatures w14:val="none"/>
        </w:rPr>
        <w:t>ly</w:t>
      </w:r>
      <w:r w:rsidRPr="00A47474">
        <w:rPr>
          <w:rFonts w:ascii="Times New Roman" w:eastAsia="Times New Roman" w:hAnsi="Times New Roman" w:cs="Times New Roman"/>
          <w:color w:val="000000"/>
          <w:kern w:val="0"/>
          <w14:ligatures w14:val="none"/>
        </w:rPr>
        <w:t xml:space="preserve"> adjudicat</w:t>
      </w:r>
      <w:r w:rsidR="0094216D">
        <w:rPr>
          <w:rFonts w:ascii="Times New Roman" w:eastAsia="Times New Roman" w:hAnsi="Times New Roman" w:cs="Times New Roman"/>
          <w:color w:val="000000"/>
          <w:kern w:val="0"/>
          <w14:ligatures w14:val="none"/>
        </w:rPr>
        <w:t>e between</w:t>
      </w:r>
      <w:r w:rsidRPr="00A47474">
        <w:rPr>
          <w:rFonts w:ascii="Times New Roman" w:eastAsia="Times New Roman" w:hAnsi="Times New Roman" w:cs="Times New Roman"/>
          <w:color w:val="000000"/>
          <w:kern w:val="0"/>
          <w14:ligatures w14:val="none"/>
        </w:rPr>
        <w:t xml:space="preserve"> theories—not based on statistical significance, but on their ability to generalize across cases and stages</w:t>
      </w:r>
      <w:r w:rsidR="0025103D">
        <w:rPr>
          <w:rFonts w:ascii="Times New Roman" w:eastAsia="Times New Roman" w:hAnsi="Times New Roman" w:cs="Times New Roman"/>
          <w:color w:val="000000"/>
          <w:kern w:val="0"/>
          <w14:ligatures w14:val="none"/>
        </w:rPr>
        <w:t xml:space="preserve"> in the causal process</w:t>
      </w:r>
      <w:r w:rsidRPr="00A47474">
        <w:rPr>
          <w:rFonts w:ascii="Times New Roman" w:eastAsia="Times New Roman" w:hAnsi="Times New Roman" w:cs="Times New Roman"/>
          <w:color w:val="000000"/>
          <w:kern w:val="0"/>
          <w14:ligatures w14:val="none"/>
        </w:rPr>
        <w:t>.</w:t>
      </w:r>
    </w:p>
    <w:p w14:paraId="3F012539" w14:textId="07ADCD6A" w:rsidR="00A47474" w:rsidRPr="00A47474" w:rsidRDefault="00A47474" w:rsidP="00474A23">
      <w:pPr>
        <w:spacing w:after="0"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b/>
          <w:bCs/>
          <w:color w:val="000000"/>
          <w:kern w:val="0"/>
          <w14:ligatures w14:val="none"/>
        </w:rPr>
        <w:t>Data and Methods</w:t>
      </w:r>
    </w:p>
    <w:p w14:paraId="3D75F239" w14:textId="2FD2822B" w:rsidR="002955A6" w:rsidRPr="00B25A0C" w:rsidRDefault="00A47474" w:rsidP="002955A6">
      <w:pPr>
        <w:spacing w:before="100" w:beforeAutospacing="1" w:after="100" w:afterAutospacing="1" w:line="240" w:lineRule="auto"/>
        <w:rPr>
          <w:rFonts w:asciiTheme="majorBidi" w:eastAsia="Times New Roman" w:hAnsiTheme="majorBidi" w:cstheme="majorBidi"/>
          <w:color w:val="000000"/>
          <w:kern w:val="0"/>
          <w14:ligatures w14:val="none"/>
        </w:rPr>
      </w:pPr>
      <w:r w:rsidRPr="00B25A0C">
        <w:rPr>
          <w:rFonts w:asciiTheme="majorBidi" w:eastAsia="Times New Roman" w:hAnsiTheme="majorBidi" w:cstheme="majorBidi"/>
          <w:color w:val="000000"/>
          <w:kern w:val="0"/>
          <w14:ligatures w14:val="none"/>
        </w:rPr>
        <w:t>The analysis draws on the Ethnic Power Relations – Self-Determination Movement (EPR-SDM) </w:t>
      </w:r>
      <w:r w:rsidR="0025103D">
        <w:rPr>
          <w:rFonts w:asciiTheme="majorBidi" w:eastAsia="Times New Roman" w:hAnsiTheme="majorBidi" w:cstheme="majorBidi"/>
          <w:color w:val="000000"/>
          <w:kern w:val="0"/>
          <w14:ligatures w14:val="none"/>
        </w:rPr>
        <w:t xml:space="preserve">merged </w:t>
      </w:r>
      <w:r w:rsidRPr="00B25A0C">
        <w:rPr>
          <w:rFonts w:asciiTheme="majorBidi" w:eastAsia="Times New Roman" w:hAnsiTheme="majorBidi" w:cstheme="majorBidi"/>
          <w:color w:val="000000"/>
          <w:kern w:val="0"/>
          <w14:ligatures w14:val="none"/>
        </w:rPr>
        <w:t xml:space="preserve">dataset, which identifies all politically relevant ethnic groups from 1946 to </w:t>
      </w:r>
      <w:r w:rsidR="00710617" w:rsidRPr="00B25A0C">
        <w:rPr>
          <w:rFonts w:asciiTheme="majorBidi" w:eastAsia="Times New Roman" w:hAnsiTheme="majorBidi" w:cstheme="majorBidi"/>
          <w:color w:val="000000"/>
          <w:kern w:val="0"/>
          <w14:ligatures w14:val="none"/>
        </w:rPr>
        <w:t>2012</w:t>
      </w:r>
      <w:r w:rsidRPr="00B25A0C">
        <w:rPr>
          <w:rFonts w:asciiTheme="majorBidi" w:eastAsia="Times New Roman" w:hAnsiTheme="majorBidi" w:cstheme="majorBidi"/>
          <w:color w:val="000000"/>
          <w:kern w:val="0"/>
          <w14:ligatures w14:val="none"/>
        </w:rPr>
        <w:t xml:space="preserve"> and codes the onset and escalation of self-determination claims (</w:t>
      </w:r>
      <w:r w:rsidR="00447B0A" w:rsidRPr="00B25A0C">
        <w:rPr>
          <w:rFonts w:asciiTheme="majorBidi" w:hAnsiTheme="majorBidi" w:cstheme="majorBidi"/>
          <w:color w:val="222222"/>
          <w:shd w:val="clear" w:color="auto" w:fill="FFFFFF"/>
        </w:rPr>
        <w:t>Sambanis</w:t>
      </w:r>
      <w:r w:rsidR="00447B0A" w:rsidRPr="00B25A0C">
        <w:rPr>
          <w:rFonts w:asciiTheme="majorBidi" w:eastAsia="Times New Roman" w:hAnsiTheme="majorBidi" w:cstheme="majorBidi"/>
          <w:color w:val="000000"/>
          <w:kern w:val="0"/>
          <w14:ligatures w14:val="none"/>
        </w:rPr>
        <w:t xml:space="preserve"> et all 2018</w:t>
      </w:r>
      <w:r w:rsidR="00D66512" w:rsidRPr="00B25A0C">
        <w:rPr>
          <w:rFonts w:asciiTheme="majorBidi" w:eastAsia="Times New Roman" w:hAnsiTheme="majorBidi" w:cstheme="majorBidi"/>
          <w:color w:val="000000"/>
          <w:kern w:val="0"/>
          <w14:ligatures w14:val="none"/>
        </w:rPr>
        <w:t>;</w:t>
      </w:r>
      <w:r w:rsidR="00D66512" w:rsidRPr="00B25A0C">
        <w:rPr>
          <w:rFonts w:asciiTheme="majorBidi" w:eastAsia="Times New Roman" w:hAnsiTheme="majorBidi" w:cstheme="majorBidi"/>
          <w:b/>
          <w:bCs/>
          <w:kern w:val="0"/>
          <w14:ligatures w14:val="none"/>
        </w:rPr>
        <w:t xml:space="preserve"> </w:t>
      </w:r>
      <w:r w:rsidR="00D66512" w:rsidRPr="00B25A0C">
        <w:rPr>
          <w:rFonts w:asciiTheme="majorBidi" w:eastAsia="Times New Roman" w:hAnsiTheme="majorBidi" w:cstheme="majorBidi"/>
          <w:kern w:val="0"/>
          <w14:ligatures w14:val="none"/>
        </w:rPr>
        <w:t>Germann</w:t>
      </w:r>
      <w:r w:rsidR="00E570FB">
        <w:rPr>
          <w:rFonts w:asciiTheme="majorBidi" w:eastAsia="Times New Roman" w:hAnsiTheme="majorBidi" w:cstheme="majorBidi"/>
          <w:kern w:val="0"/>
          <w14:ligatures w14:val="none"/>
        </w:rPr>
        <w:t xml:space="preserve"> &amp;</w:t>
      </w:r>
      <w:r w:rsidR="00D66512" w:rsidRPr="00B25A0C">
        <w:rPr>
          <w:rFonts w:asciiTheme="majorBidi" w:eastAsia="Times New Roman" w:hAnsiTheme="majorBidi" w:cstheme="majorBidi"/>
          <w:kern w:val="0"/>
          <w14:ligatures w14:val="none"/>
        </w:rPr>
        <w:t xml:space="preserve"> Sambanis 2021;</w:t>
      </w:r>
      <w:r w:rsidR="00447B0A" w:rsidRPr="00B25A0C">
        <w:rPr>
          <w:rFonts w:asciiTheme="majorBidi" w:eastAsia="Times New Roman" w:hAnsiTheme="majorBidi" w:cstheme="majorBidi"/>
          <w:color w:val="000000"/>
          <w:kern w:val="0"/>
          <w14:ligatures w14:val="none"/>
        </w:rPr>
        <w:t xml:space="preserve"> </w:t>
      </w:r>
      <w:r w:rsidRPr="00B25A0C">
        <w:rPr>
          <w:rFonts w:asciiTheme="majorBidi" w:eastAsia="Times New Roman" w:hAnsiTheme="majorBidi" w:cstheme="majorBidi"/>
          <w:color w:val="000000"/>
          <w:kern w:val="0"/>
          <w14:ligatures w14:val="none"/>
        </w:rPr>
        <w:t>Vogt et al. 20</w:t>
      </w:r>
      <w:r w:rsidR="00B25A0C" w:rsidRPr="00B25A0C">
        <w:rPr>
          <w:rFonts w:asciiTheme="majorBidi" w:eastAsia="Times New Roman" w:hAnsiTheme="majorBidi" w:cstheme="majorBidi"/>
          <w:color w:val="000000"/>
          <w:kern w:val="0"/>
          <w14:ligatures w14:val="none"/>
        </w:rPr>
        <w:t>15</w:t>
      </w:r>
      <w:r w:rsidR="0025103D">
        <w:rPr>
          <w:rFonts w:asciiTheme="majorBidi" w:eastAsia="Times New Roman" w:hAnsiTheme="majorBidi" w:cstheme="majorBidi"/>
          <w:color w:val="000000"/>
          <w:kern w:val="0"/>
          <w14:ligatures w14:val="none"/>
        </w:rPr>
        <w:t>)</w:t>
      </w:r>
      <w:r w:rsidRPr="00B25A0C">
        <w:rPr>
          <w:rFonts w:asciiTheme="majorBidi" w:eastAsia="Times New Roman" w:hAnsiTheme="majorBidi" w:cstheme="majorBidi"/>
          <w:color w:val="000000"/>
          <w:kern w:val="0"/>
          <w14:ligatures w14:val="none"/>
        </w:rPr>
        <w:t>. The unit of analysis is the </w:t>
      </w:r>
      <w:r w:rsidR="002955A6">
        <w:rPr>
          <w:rFonts w:asciiTheme="majorBidi" w:eastAsia="Times New Roman" w:hAnsiTheme="majorBidi" w:cstheme="majorBidi"/>
          <w:color w:val="000000"/>
          <w:kern w:val="0"/>
          <w14:ligatures w14:val="none"/>
        </w:rPr>
        <w:t>self-determination movement</w:t>
      </w:r>
      <w:r w:rsidRPr="00B25A0C">
        <w:rPr>
          <w:rFonts w:asciiTheme="majorBidi" w:eastAsia="Times New Roman" w:hAnsiTheme="majorBidi" w:cstheme="majorBidi"/>
          <w:color w:val="000000"/>
          <w:kern w:val="0"/>
          <w14:ligatures w14:val="none"/>
        </w:rPr>
        <w:t>-year, nested within countries.</w:t>
      </w:r>
    </w:p>
    <w:p w14:paraId="0C157518" w14:textId="3140327E" w:rsidR="00A47474" w:rsidRPr="00A47474" w:rsidRDefault="006F2EF5"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w:t>
      </w:r>
      <w:r w:rsidR="00A47474" w:rsidRPr="00A47474">
        <w:rPr>
          <w:rFonts w:ascii="Times New Roman" w:eastAsia="Times New Roman" w:hAnsi="Times New Roman" w:cs="Times New Roman"/>
          <w:color w:val="000000"/>
          <w:kern w:val="0"/>
          <w14:ligatures w14:val="none"/>
        </w:rPr>
        <w:t xml:space="preserve"> model two binary outcomes:</w:t>
      </w:r>
      <w:r w:rsidR="00EA5EB8">
        <w:rPr>
          <w:rStyle w:val="FootnoteReference"/>
          <w:rFonts w:ascii="Times New Roman" w:eastAsia="Times New Roman" w:hAnsi="Times New Roman" w:cs="Times New Roman"/>
          <w:color w:val="000000"/>
          <w:kern w:val="0"/>
          <w14:ligatures w14:val="none"/>
        </w:rPr>
        <w:footnoteReference w:id="2"/>
      </w:r>
    </w:p>
    <w:p w14:paraId="2E39C122" w14:textId="42D294AF" w:rsidR="00A47474" w:rsidRPr="00A47474" w:rsidRDefault="00A47474" w:rsidP="00A47474">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77397">
        <w:rPr>
          <w:rFonts w:ascii="Times New Roman" w:eastAsia="Times New Roman" w:hAnsi="Times New Roman" w:cs="Times New Roman"/>
          <w:i/>
          <w:iCs/>
          <w:color w:val="000000"/>
          <w:kern w:val="0"/>
          <w14:ligatures w14:val="none"/>
        </w:rPr>
        <w:t>Onset:</w:t>
      </w:r>
      <w:r w:rsidRPr="00A47474">
        <w:rPr>
          <w:rFonts w:ascii="Times New Roman" w:eastAsia="Times New Roman" w:hAnsi="Times New Roman" w:cs="Times New Roman"/>
          <w:color w:val="000000"/>
          <w:kern w:val="0"/>
          <w14:ligatures w14:val="none"/>
        </w:rPr>
        <w:t xml:space="preserve"> </w:t>
      </w:r>
      <w:r w:rsidR="00307B8D" w:rsidRPr="00307B8D">
        <w:rPr>
          <w:rFonts w:ascii="Times New Roman" w:eastAsia="Times New Roman" w:hAnsi="Times New Roman" w:cs="Times New Roman"/>
          <w:color w:val="000000"/>
          <w:kern w:val="0"/>
          <w14:ligatures w14:val="none"/>
        </w:rPr>
        <w:t xml:space="preserve">coded 1 in the first year an organization of a self-determination movement made a </w:t>
      </w:r>
      <w:r w:rsidR="00D56AD7" w:rsidRPr="00A47474">
        <w:rPr>
          <w:rFonts w:ascii="Times New Roman" w:eastAsia="Times New Roman" w:hAnsi="Times New Roman" w:cs="Times New Roman"/>
          <w:color w:val="000000"/>
          <w:kern w:val="0"/>
          <w14:ligatures w14:val="none"/>
        </w:rPr>
        <w:t>nonviolent</w:t>
      </w:r>
      <w:r w:rsidR="00D56AD7" w:rsidRPr="00307B8D">
        <w:rPr>
          <w:rFonts w:ascii="Times New Roman" w:eastAsia="Times New Roman" w:hAnsi="Times New Roman" w:cs="Times New Roman"/>
          <w:color w:val="000000"/>
          <w:kern w:val="0"/>
          <w14:ligatures w14:val="none"/>
        </w:rPr>
        <w:t xml:space="preserve"> </w:t>
      </w:r>
      <w:r w:rsidR="00307B8D" w:rsidRPr="00307B8D">
        <w:rPr>
          <w:rFonts w:ascii="Times New Roman" w:eastAsia="Times New Roman" w:hAnsi="Times New Roman" w:cs="Times New Roman"/>
          <w:color w:val="000000"/>
          <w:kern w:val="0"/>
          <w14:ligatures w14:val="none"/>
        </w:rPr>
        <w:t>claim on behalf of an ethnic group</w:t>
      </w:r>
      <w:r w:rsidR="0025103D">
        <w:rPr>
          <w:rFonts w:ascii="Times New Roman" w:eastAsia="Times New Roman" w:hAnsi="Times New Roman" w:cs="Times New Roman"/>
          <w:color w:val="000000"/>
          <w:kern w:val="0"/>
          <w14:ligatures w14:val="none"/>
        </w:rPr>
        <w:t>;</w:t>
      </w:r>
      <w:r w:rsidR="00307B8D" w:rsidRPr="00307B8D">
        <w:rPr>
          <w:rFonts w:ascii="Times New Roman" w:eastAsia="Times New Roman" w:hAnsi="Times New Roman" w:cs="Times New Roman"/>
          <w:color w:val="000000"/>
          <w:kern w:val="0"/>
          <w14:ligatures w14:val="none"/>
        </w:rPr>
        <w:t xml:space="preserve"> and 0 otherwise</w:t>
      </w:r>
      <w:r w:rsidR="0025103D">
        <w:rPr>
          <w:rFonts w:ascii="Times New Roman" w:eastAsia="Times New Roman" w:hAnsi="Times New Roman" w:cs="Times New Roman"/>
          <w:color w:val="000000"/>
          <w:kern w:val="0"/>
          <w14:ligatures w14:val="none"/>
        </w:rPr>
        <w:t>;</w:t>
      </w:r>
      <w:r w:rsidR="00307B8D" w:rsidRPr="00307B8D">
        <w:rPr>
          <w:rFonts w:ascii="Times New Roman" w:eastAsia="Times New Roman" w:hAnsi="Times New Roman" w:cs="Times New Roman"/>
          <w:color w:val="000000"/>
          <w:kern w:val="0"/>
          <w14:ligatures w14:val="none"/>
        </w:rPr>
        <w:t xml:space="preserve"> dropping cases of SDM</w:t>
      </w:r>
      <w:r w:rsidR="0025103D">
        <w:rPr>
          <w:rFonts w:ascii="Times New Roman" w:eastAsia="Times New Roman" w:hAnsi="Times New Roman" w:cs="Times New Roman"/>
          <w:color w:val="000000"/>
          <w:kern w:val="0"/>
          <w14:ligatures w14:val="none"/>
        </w:rPr>
        <w:t>s</w:t>
      </w:r>
      <w:r w:rsidR="00307B8D" w:rsidRPr="00307B8D">
        <w:rPr>
          <w:rFonts w:ascii="Times New Roman" w:eastAsia="Times New Roman" w:hAnsi="Times New Roman" w:cs="Times New Roman"/>
          <w:color w:val="000000"/>
          <w:kern w:val="0"/>
          <w14:ligatures w14:val="none"/>
        </w:rPr>
        <w:t xml:space="preserve"> that start</w:t>
      </w:r>
      <w:r w:rsidR="0025103D">
        <w:rPr>
          <w:rFonts w:ascii="Times New Roman" w:eastAsia="Times New Roman" w:hAnsi="Times New Roman" w:cs="Times New Roman"/>
          <w:color w:val="000000"/>
          <w:kern w:val="0"/>
          <w14:ligatures w14:val="none"/>
        </w:rPr>
        <w:t>ed</w:t>
      </w:r>
      <w:r w:rsidR="00307B8D" w:rsidRPr="00307B8D">
        <w:rPr>
          <w:rFonts w:ascii="Times New Roman" w:eastAsia="Times New Roman" w:hAnsi="Times New Roman" w:cs="Times New Roman"/>
          <w:color w:val="000000"/>
          <w:kern w:val="0"/>
          <w14:ligatures w14:val="none"/>
        </w:rPr>
        <w:t xml:space="preserve"> violent</w:t>
      </w:r>
      <w:r w:rsidR="0025103D">
        <w:rPr>
          <w:rFonts w:ascii="Times New Roman" w:eastAsia="Times New Roman" w:hAnsi="Times New Roman" w:cs="Times New Roman"/>
          <w:color w:val="000000"/>
          <w:kern w:val="0"/>
          <w14:ligatures w14:val="none"/>
        </w:rPr>
        <w:t>ly</w:t>
      </w:r>
      <w:r w:rsidR="00307B8D" w:rsidRPr="00307B8D">
        <w:rPr>
          <w:rFonts w:ascii="Times New Roman" w:eastAsia="Times New Roman" w:hAnsi="Times New Roman" w:cs="Times New Roman"/>
          <w:color w:val="000000"/>
          <w:kern w:val="0"/>
          <w14:ligatures w14:val="none"/>
        </w:rPr>
        <w:t>.</w:t>
      </w:r>
      <w:r w:rsidR="00905F06">
        <w:rPr>
          <w:rStyle w:val="FootnoteReference"/>
          <w:rFonts w:ascii="Times New Roman" w:eastAsia="Times New Roman" w:hAnsi="Times New Roman" w:cs="Times New Roman"/>
          <w:color w:val="000000"/>
          <w:kern w:val="0"/>
          <w14:ligatures w14:val="none"/>
        </w:rPr>
        <w:footnoteReference w:id="3"/>
      </w:r>
    </w:p>
    <w:p w14:paraId="76564052" w14:textId="43A11AC6" w:rsidR="00B21462" w:rsidRPr="00317F85" w:rsidRDefault="00A47474" w:rsidP="00317F8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681A">
        <w:rPr>
          <w:rFonts w:ascii="Times New Roman" w:eastAsia="Times New Roman" w:hAnsi="Times New Roman" w:cs="Times New Roman"/>
          <w:i/>
          <w:iCs/>
          <w:color w:val="000000"/>
          <w:kern w:val="0"/>
          <w14:ligatures w14:val="none"/>
        </w:rPr>
        <w:t>Escalation</w:t>
      </w:r>
      <w:r w:rsidRPr="00A47474">
        <w:rPr>
          <w:rFonts w:ascii="Times New Roman" w:eastAsia="Times New Roman" w:hAnsi="Times New Roman" w:cs="Times New Roman"/>
          <w:color w:val="000000"/>
          <w:kern w:val="0"/>
          <w14:ligatures w14:val="none"/>
        </w:rPr>
        <w:t xml:space="preserve">: </w:t>
      </w:r>
      <w:r w:rsidR="0079476A">
        <w:rPr>
          <w:rFonts w:ascii="Times New Roman" w:eastAsia="Times New Roman" w:hAnsi="Times New Roman" w:cs="Times New Roman"/>
          <w:color w:val="000000"/>
          <w:kern w:val="0"/>
          <w14:ligatures w14:val="none"/>
        </w:rPr>
        <w:t xml:space="preserve">coded </w:t>
      </w:r>
      <w:r w:rsidR="00D56AD7" w:rsidRPr="00D56AD7">
        <w:rPr>
          <w:rFonts w:ascii="Times New Roman" w:eastAsia="Times New Roman" w:hAnsi="Times New Roman" w:cs="Times New Roman"/>
          <w:color w:val="000000"/>
          <w:kern w:val="0"/>
          <w14:ligatures w14:val="none"/>
        </w:rPr>
        <w:t>1 if a group transitions from a nonviolent claim to violence conditional on prior nonviolent claim</w:t>
      </w:r>
      <w:r w:rsidR="0025103D">
        <w:rPr>
          <w:rFonts w:ascii="Times New Roman" w:eastAsia="Times New Roman" w:hAnsi="Times New Roman" w:cs="Times New Roman"/>
          <w:color w:val="000000"/>
          <w:kern w:val="0"/>
          <w14:ligatures w14:val="none"/>
        </w:rPr>
        <w:t>;</w:t>
      </w:r>
      <w:r w:rsidR="00D56AD7" w:rsidRPr="00D56AD7">
        <w:rPr>
          <w:rFonts w:ascii="Times New Roman" w:eastAsia="Times New Roman" w:hAnsi="Times New Roman" w:cs="Times New Roman"/>
          <w:color w:val="000000"/>
          <w:kern w:val="0"/>
          <w14:ligatures w14:val="none"/>
        </w:rPr>
        <w:t xml:space="preserve"> and 0 otherwise</w:t>
      </w:r>
      <w:r w:rsidR="0025103D">
        <w:rPr>
          <w:rFonts w:ascii="Times New Roman" w:eastAsia="Times New Roman" w:hAnsi="Times New Roman" w:cs="Times New Roman"/>
          <w:color w:val="000000"/>
          <w:kern w:val="0"/>
          <w14:ligatures w14:val="none"/>
        </w:rPr>
        <w:t>;</w:t>
      </w:r>
      <w:r w:rsidR="00D56AD7" w:rsidRPr="00D56AD7">
        <w:rPr>
          <w:rFonts w:ascii="Times New Roman" w:eastAsia="Times New Roman" w:hAnsi="Times New Roman" w:cs="Times New Roman"/>
          <w:color w:val="000000"/>
          <w:kern w:val="0"/>
          <w14:ligatures w14:val="none"/>
        </w:rPr>
        <w:t xml:space="preserve"> drop</w:t>
      </w:r>
      <w:r w:rsidR="0025103D">
        <w:rPr>
          <w:rFonts w:ascii="Times New Roman" w:eastAsia="Times New Roman" w:hAnsi="Times New Roman" w:cs="Times New Roman"/>
          <w:color w:val="000000"/>
          <w:kern w:val="0"/>
          <w14:ligatures w14:val="none"/>
        </w:rPr>
        <w:t>ping</w:t>
      </w:r>
      <w:r w:rsidR="00D56AD7" w:rsidRPr="00D56AD7">
        <w:rPr>
          <w:rFonts w:ascii="Times New Roman" w:eastAsia="Times New Roman" w:hAnsi="Times New Roman" w:cs="Times New Roman"/>
          <w:color w:val="000000"/>
          <w:kern w:val="0"/>
          <w14:ligatures w14:val="none"/>
        </w:rPr>
        <w:t xml:space="preserve"> all observations without a prior nonviolent claim</w:t>
      </w:r>
      <w:r w:rsidR="00C93DED">
        <w:rPr>
          <w:rFonts w:ascii="Times New Roman" w:eastAsia="Times New Roman" w:hAnsi="Times New Roman" w:cs="Times New Roman"/>
          <w:color w:val="000000"/>
          <w:kern w:val="0"/>
          <w14:ligatures w14:val="none"/>
        </w:rPr>
        <w:t>.</w:t>
      </w:r>
      <w:r w:rsidR="008467DD">
        <w:rPr>
          <w:rStyle w:val="FootnoteReference"/>
          <w:rFonts w:ascii="Times New Roman" w:eastAsia="Times New Roman" w:hAnsi="Times New Roman" w:cs="Times New Roman"/>
          <w:color w:val="000000"/>
          <w:kern w:val="0"/>
          <w14:ligatures w14:val="none"/>
        </w:rPr>
        <w:footnoteReference w:id="4"/>
      </w:r>
    </w:p>
    <w:p w14:paraId="247D2995" w14:textId="68F71A00" w:rsidR="00B21462" w:rsidRPr="005659C1" w:rsidRDefault="00B21462" w:rsidP="005659C1">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 use</w:t>
      </w:r>
      <w:r w:rsidRPr="00A47474">
        <w:rPr>
          <w:rFonts w:ascii="Times New Roman" w:eastAsia="Times New Roman" w:hAnsi="Times New Roman" w:cs="Times New Roman"/>
          <w:color w:val="000000"/>
          <w:kern w:val="0"/>
          <w14:ligatures w14:val="none"/>
        </w:rPr>
        <w:t> </w:t>
      </w:r>
      <w:r w:rsidRPr="00B21462">
        <w:rPr>
          <w:rFonts w:ascii="Times New Roman" w:eastAsia="Times New Roman" w:hAnsi="Times New Roman" w:cs="Times New Roman"/>
          <w:color w:val="000000"/>
          <w:kern w:val="0"/>
          <w14:ligatures w14:val="none"/>
        </w:rPr>
        <w:t>Random Forest classifiers</w:t>
      </w:r>
      <w:r w:rsidR="0025103D">
        <w:rPr>
          <w:rFonts w:ascii="Times New Roman" w:eastAsia="Times New Roman" w:hAnsi="Times New Roman" w:cs="Times New Roman"/>
          <w:color w:val="000000"/>
          <w:kern w:val="0"/>
          <w14:ligatures w14:val="none"/>
        </w:rPr>
        <w:t xml:space="preserve"> and </w:t>
      </w:r>
      <w:r w:rsidRPr="00A47474">
        <w:rPr>
          <w:rFonts w:ascii="Times New Roman" w:eastAsia="Times New Roman" w:hAnsi="Times New Roman" w:cs="Times New Roman"/>
          <w:color w:val="000000"/>
          <w:kern w:val="0"/>
          <w14:ligatures w14:val="none"/>
        </w:rPr>
        <w:t xml:space="preserve">logistic regression models. </w:t>
      </w:r>
      <w:r w:rsidR="006A5905">
        <w:rPr>
          <w:rFonts w:ascii="Times New Roman" w:eastAsia="Times New Roman" w:hAnsi="Times New Roman" w:cs="Times New Roman"/>
          <w:color w:val="000000"/>
          <w:kern w:val="0"/>
          <w14:ligatures w14:val="none"/>
        </w:rPr>
        <w:t xml:space="preserve">We </w:t>
      </w:r>
      <w:r w:rsidR="009F1C9E" w:rsidRPr="009F1C9E">
        <w:rPr>
          <w:rFonts w:ascii="Times New Roman" w:eastAsia="Times New Roman" w:hAnsi="Times New Roman" w:cs="Times New Roman"/>
          <w:color w:val="000000"/>
          <w:kern w:val="0"/>
          <w14:ligatures w14:val="none"/>
        </w:rPr>
        <w:t>split the data into training and testing parts</w:t>
      </w:r>
      <w:r w:rsidR="006A5905">
        <w:rPr>
          <w:rFonts w:ascii="Times New Roman" w:eastAsia="Times New Roman" w:hAnsi="Times New Roman" w:cs="Times New Roman"/>
          <w:color w:val="000000"/>
          <w:kern w:val="0"/>
          <w14:ligatures w14:val="none"/>
        </w:rPr>
        <w:t xml:space="preserve">. </w:t>
      </w:r>
      <w:r w:rsidR="009F1C9E" w:rsidRPr="009F1C9E">
        <w:rPr>
          <w:rFonts w:ascii="Times New Roman" w:eastAsia="Times New Roman" w:hAnsi="Times New Roman" w:cs="Times New Roman"/>
          <w:color w:val="000000"/>
          <w:kern w:val="0"/>
          <w14:ligatures w14:val="none"/>
        </w:rPr>
        <w:t>To ensure this split does not lead to data leakage and bias, we use a group-wise sampling split approach based on the group id variable.</w:t>
      </w:r>
      <w:r w:rsidR="00EB06EF" w:rsidRPr="00EB06EF">
        <w:rPr>
          <w:rFonts w:ascii="Times New Roman" w:eastAsia="Times New Roman" w:hAnsi="Times New Roman" w:cs="Times New Roman"/>
          <w:color w:val="000000"/>
          <w:kern w:val="0"/>
          <w14:ligatures w14:val="none"/>
        </w:rPr>
        <w:t xml:space="preserve"> </w:t>
      </w:r>
      <w:r w:rsidR="00EB06EF" w:rsidRPr="00A47474">
        <w:rPr>
          <w:rFonts w:ascii="Times New Roman" w:eastAsia="Times New Roman" w:hAnsi="Times New Roman" w:cs="Times New Roman"/>
          <w:color w:val="000000"/>
          <w:kern w:val="0"/>
          <w14:ligatures w14:val="none"/>
        </w:rPr>
        <w:t>Models are trained using repeated </w:t>
      </w:r>
      <w:r w:rsidR="00EB06EF" w:rsidRPr="009F1C9E">
        <w:rPr>
          <w:rFonts w:ascii="Times New Roman" w:eastAsia="Times New Roman" w:hAnsi="Times New Roman" w:cs="Times New Roman"/>
          <w:color w:val="000000"/>
          <w:kern w:val="0"/>
          <w14:ligatures w14:val="none"/>
        </w:rPr>
        <w:t>10-fold cross-validation.</w:t>
      </w:r>
      <w:r w:rsidR="00EB06EF" w:rsidRPr="009F1C9E">
        <w:t xml:space="preserve"> </w:t>
      </w:r>
      <w:r w:rsidR="009F1C9E" w:rsidRPr="009F1C9E">
        <w:rPr>
          <w:rFonts w:ascii="Times New Roman" w:eastAsia="Times New Roman" w:hAnsi="Times New Roman" w:cs="Times New Roman"/>
          <w:color w:val="000000"/>
          <w:kern w:val="0"/>
          <w14:ligatures w14:val="none"/>
        </w:rPr>
        <w:t xml:space="preserve">We randomly selected </w:t>
      </w:r>
      <w:r w:rsidR="00745B59" w:rsidRPr="009F1C9E">
        <w:rPr>
          <w:rFonts w:ascii="Times New Roman" w:eastAsia="Times New Roman" w:hAnsi="Times New Roman" w:cs="Times New Roman"/>
          <w:color w:val="000000"/>
          <w:kern w:val="0"/>
          <w14:ligatures w14:val="none"/>
        </w:rPr>
        <w:t>2</w:t>
      </w:r>
      <w:r w:rsidR="00745B59">
        <w:rPr>
          <w:rFonts w:ascii="Times New Roman" w:eastAsia="Times New Roman" w:hAnsi="Times New Roman" w:cs="Times New Roman"/>
          <w:color w:val="000000"/>
          <w:kern w:val="0"/>
          <w14:ligatures w14:val="none"/>
        </w:rPr>
        <w:t>0</w:t>
      </w:r>
      <w:r w:rsidR="009F1C9E" w:rsidRPr="009F1C9E">
        <w:rPr>
          <w:rFonts w:ascii="Times New Roman" w:eastAsia="Times New Roman" w:hAnsi="Times New Roman" w:cs="Times New Roman"/>
          <w:color w:val="000000"/>
          <w:kern w:val="0"/>
          <w14:ligatures w14:val="none"/>
        </w:rPr>
        <w:t xml:space="preserve">% of these groups to form the test set, while the remaining </w:t>
      </w:r>
      <w:r w:rsidR="00745B59">
        <w:rPr>
          <w:rFonts w:ascii="Times New Roman" w:eastAsia="Times New Roman" w:hAnsi="Times New Roman" w:cs="Times New Roman"/>
          <w:color w:val="000000"/>
          <w:kern w:val="0"/>
          <w14:ligatures w14:val="none"/>
        </w:rPr>
        <w:t>80</w:t>
      </w:r>
      <w:r w:rsidR="009F1C9E" w:rsidRPr="009F1C9E">
        <w:rPr>
          <w:rFonts w:ascii="Times New Roman" w:eastAsia="Times New Roman" w:hAnsi="Times New Roman" w:cs="Times New Roman"/>
          <w:color w:val="000000"/>
          <w:kern w:val="0"/>
          <w14:ligatures w14:val="none"/>
        </w:rPr>
        <w:t>% were assigned to the training set. This approach ensur</w:t>
      </w:r>
      <w:r w:rsidR="0025103D">
        <w:rPr>
          <w:rFonts w:ascii="Times New Roman" w:eastAsia="Times New Roman" w:hAnsi="Times New Roman" w:cs="Times New Roman"/>
          <w:color w:val="000000"/>
          <w:kern w:val="0"/>
          <w14:ligatures w14:val="none"/>
        </w:rPr>
        <w:t>es</w:t>
      </w:r>
      <w:r w:rsidR="009F1C9E" w:rsidRPr="009F1C9E">
        <w:rPr>
          <w:rFonts w:ascii="Times New Roman" w:eastAsia="Times New Roman" w:hAnsi="Times New Roman" w:cs="Times New Roman"/>
          <w:color w:val="000000"/>
          <w:kern w:val="0"/>
          <w14:ligatures w14:val="none"/>
        </w:rPr>
        <w:t xml:space="preserve"> that entire groups appear exclusively in either the training or test set</w:t>
      </w:r>
      <w:r w:rsidR="0025103D">
        <w:rPr>
          <w:rFonts w:ascii="Times New Roman" w:eastAsia="Times New Roman" w:hAnsi="Times New Roman" w:cs="Times New Roman"/>
          <w:color w:val="000000"/>
          <w:kern w:val="0"/>
          <w14:ligatures w14:val="none"/>
        </w:rPr>
        <w:t xml:space="preserve">, </w:t>
      </w:r>
      <w:r w:rsidR="0025103D" w:rsidRPr="009F1C9E">
        <w:rPr>
          <w:rFonts w:ascii="Times New Roman" w:eastAsia="Times New Roman" w:hAnsi="Times New Roman" w:cs="Times New Roman"/>
          <w:color w:val="000000"/>
          <w:kern w:val="0"/>
          <w14:ligatures w14:val="none"/>
        </w:rPr>
        <w:t>prevent</w:t>
      </w:r>
      <w:r w:rsidR="0025103D">
        <w:rPr>
          <w:rFonts w:ascii="Times New Roman" w:eastAsia="Times New Roman" w:hAnsi="Times New Roman" w:cs="Times New Roman"/>
          <w:color w:val="000000"/>
          <w:kern w:val="0"/>
          <w14:ligatures w14:val="none"/>
        </w:rPr>
        <w:t>ing</w:t>
      </w:r>
      <w:r w:rsidR="0025103D" w:rsidRPr="009F1C9E">
        <w:rPr>
          <w:rFonts w:ascii="Times New Roman" w:eastAsia="Times New Roman" w:hAnsi="Times New Roman" w:cs="Times New Roman"/>
          <w:color w:val="000000"/>
          <w:kern w:val="0"/>
          <w14:ligatures w14:val="none"/>
        </w:rPr>
        <w:t xml:space="preserve"> data leakage</w:t>
      </w:r>
      <w:r w:rsidR="009F1C9E" w:rsidRPr="009F1C9E">
        <w:rPr>
          <w:rFonts w:ascii="Times New Roman" w:eastAsia="Times New Roman" w:hAnsi="Times New Roman" w:cs="Times New Roman"/>
          <w:color w:val="000000"/>
          <w:kern w:val="0"/>
          <w14:ligatures w14:val="none"/>
        </w:rPr>
        <w:t>.</w:t>
      </w:r>
      <w:r w:rsidR="00794F98" w:rsidRPr="00794F98">
        <w:t xml:space="preserve"> </w:t>
      </w:r>
      <w:r w:rsidR="00794F98" w:rsidRPr="00794F98">
        <w:rPr>
          <w:rFonts w:ascii="Times New Roman" w:eastAsia="Times New Roman" w:hAnsi="Times New Roman" w:cs="Times New Roman"/>
          <w:color w:val="000000"/>
          <w:kern w:val="0"/>
          <w14:ligatures w14:val="none"/>
        </w:rPr>
        <w:t>For assessing the predictive accuracy of both Random Forest and logistic regression</w:t>
      </w:r>
      <w:r w:rsidR="00317F85">
        <w:rPr>
          <w:rFonts w:ascii="Times New Roman" w:eastAsia="Times New Roman" w:hAnsi="Times New Roman" w:cs="Times New Roman"/>
          <w:color w:val="000000"/>
          <w:kern w:val="0"/>
          <w14:ligatures w14:val="none"/>
        </w:rPr>
        <w:t xml:space="preserve"> models</w:t>
      </w:r>
      <w:r w:rsidR="00794F98" w:rsidRPr="00794F98">
        <w:rPr>
          <w:rFonts w:ascii="Times New Roman" w:eastAsia="Times New Roman" w:hAnsi="Times New Roman" w:cs="Times New Roman"/>
          <w:color w:val="000000"/>
          <w:kern w:val="0"/>
          <w14:ligatures w14:val="none"/>
        </w:rPr>
        <w:t>, we use the Receiver Operating Characteristic (ROC)</w:t>
      </w:r>
      <w:r w:rsidR="00317F85">
        <w:rPr>
          <w:rFonts w:ascii="Times New Roman" w:eastAsia="Times New Roman" w:hAnsi="Times New Roman" w:cs="Times New Roman"/>
          <w:color w:val="000000"/>
          <w:kern w:val="0"/>
          <w14:ligatures w14:val="none"/>
        </w:rPr>
        <w:t>. We also examine variable importance scores</w:t>
      </w:r>
      <w:r w:rsidR="00120800">
        <w:rPr>
          <w:rFonts w:ascii="Times New Roman" w:eastAsia="Times New Roman" w:hAnsi="Times New Roman" w:cs="Times New Roman"/>
          <w:color w:val="000000"/>
          <w:kern w:val="0"/>
          <w14:ligatures w14:val="none"/>
        </w:rPr>
        <w:t xml:space="preserve"> </w:t>
      </w:r>
      <w:r w:rsidR="00317F85">
        <w:rPr>
          <w:rFonts w:ascii="Times New Roman" w:eastAsia="Times New Roman" w:hAnsi="Times New Roman" w:cs="Times New Roman"/>
          <w:color w:val="000000"/>
          <w:kern w:val="0"/>
          <w14:ligatures w14:val="none"/>
        </w:rPr>
        <w:t>(</w:t>
      </w:r>
      <w:r w:rsidR="00120800">
        <w:rPr>
          <w:rFonts w:ascii="Times New Roman" w:eastAsia="Times New Roman" w:hAnsi="Times New Roman" w:cs="Times New Roman"/>
          <w:color w:val="000000"/>
          <w:kern w:val="0"/>
          <w14:ligatures w14:val="none"/>
        </w:rPr>
        <w:t xml:space="preserve">using </w:t>
      </w:r>
      <w:r w:rsidR="0025103D">
        <w:rPr>
          <w:rFonts w:ascii="Times New Roman" w:eastAsia="Times New Roman" w:hAnsi="Times New Roman" w:cs="Times New Roman"/>
          <w:color w:val="000000"/>
          <w:kern w:val="0"/>
          <w14:ligatures w14:val="none"/>
        </w:rPr>
        <w:t xml:space="preserve">the </w:t>
      </w:r>
      <w:r w:rsidR="00317F85">
        <w:rPr>
          <w:rFonts w:ascii="Times New Roman" w:eastAsia="Times New Roman" w:hAnsi="Times New Roman" w:cs="Times New Roman"/>
          <w:color w:val="000000"/>
          <w:kern w:val="0"/>
          <w14:ligatures w14:val="none"/>
        </w:rPr>
        <w:t>permutation</w:t>
      </w:r>
      <w:r w:rsidR="00120800">
        <w:rPr>
          <w:rFonts w:ascii="Times New Roman" w:eastAsia="Times New Roman" w:hAnsi="Times New Roman" w:cs="Times New Roman"/>
          <w:color w:val="000000"/>
          <w:kern w:val="0"/>
          <w14:ligatures w14:val="none"/>
        </w:rPr>
        <w:t xml:space="preserve"> method</w:t>
      </w:r>
      <w:r w:rsidR="00317F85">
        <w:rPr>
          <w:rFonts w:ascii="Times New Roman" w:eastAsia="Times New Roman" w:hAnsi="Times New Roman" w:cs="Times New Roman"/>
          <w:color w:val="000000"/>
          <w:kern w:val="0"/>
          <w14:ligatures w14:val="none"/>
        </w:rPr>
        <w:t>)</w:t>
      </w:r>
      <w:r w:rsidR="00A102FA">
        <w:rPr>
          <w:rFonts w:ascii="Times New Roman" w:eastAsia="Times New Roman" w:hAnsi="Times New Roman" w:cs="Times New Roman"/>
          <w:color w:val="000000"/>
          <w:kern w:val="0"/>
          <w14:ligatures w14:val="none"/>
        </w:rPr>
        <w:t xml:space="preserve"> and partial dependence plots</w:t>
      </w:r>
      <w:r w:rsidR="00317F85">
        <w:rPr>
          <w:rFonts w:ascii="Times New Roman" w:eastAsia="Times New Roman" w:hAnsi="Times New Roman" w:cs="Times New Roman"/>
          <w:color w:val="000000"/>
          <w:kern w:val="0"/>
          <w14:ligatures w14:val="none"/>
        </w:rPr>
        <w:t xml:space="preserve"> to identify</w:t>
      </w:r>
      <w:r w:rsidR="00A102FA">
        <w:rPr>
          <w:rFonts w:ascii="Times New Roman" w:eastAsia="Times New Roman" w:hAnsi="Times New Roman" w:cs="Times New Roman"/>
          <w:color w:val="000000"/>
          <w:kern w:val="0"/>
          <w14:ligatures w14:val="none"/>
        </w:rPr>
        <w:t xml:space="preserve"> and visualize</w:t>
      </w:r>
      <w:r w:rsidR="00317F85">
        <w:rPr>
          <w:rFonts w:ascii="Times New Roman" w:eastAsia="Times New Roman" w:hAnsi="Times New Roman" w:cs="Times New Roman"/>
          <w:color w:val="000000"/>
          <w:kern w:val="0"/>
          <w14:ligatures w14:val="none"/>
        </w:rPr>
        <w:t xml:space="preserve"> </w:t>
      </w:r>
      <w:r w:rsidR="00A102FA">
        <w:rPr>
          <w:rFonts w:ascii="Times New Roman" w:eastAsia="Times New Roman" w:hAnsi="Times New Roman" w:cs="Times New Roman"/>
          <w:color w:val="000000"/>
          <w:kern w:val="0"/>
          <w14:ligatures w14:val="none"/>
        </w:rPr>
        <w:t>how</w:t>
      </w:r>
      <w:r w:rsidR="00317F85">
        <w:rPr>
          <w:rFonts w:ascii="Times New Roman" w:eastAsia="Times New Roman" w:hAnsi="Times New Roman" w:cs="Times New Roman"/>
          <w:color w:val="000000"/>
          <w:kern w:val="0"/>
          <w14:ligatures w14:val="none"/>
        </w:rPr>
        <w:t xml:space="preserve"> predictors </w:t>
      </w:r>
      <w:r w:rsidR="0025103D">
        <w:rPr>
          <w:rFonts w:ascii="Times New Roman" w:eastAsia="Times New Roman" w:hAnsi="Times New Roman" w:cs="Times New Roman"/>
          <w:color w:val="000000"/>
          <w:kern w:val="0"/>
          <w14:ligatures w14:val="none"/>
        </w:rPr>
        <w:t xml:space="preserve">influence </w:t>
      </w:r>
      <w:r w:rsidR="005659C1">
        <w:rPr>
          <w:rFonts w:ascii="Times New Roman" w:eastAsia="Times New Roman" w:hAnsi="Times New Roman" w:cs="Times New Roman"/>
          <w:color w:val="000000"/>
          <w:kern w:val="0"/>
          <w14:ligatures w14:val="none"/>
        </w:rPr>
        <w:t>onset and escalation</w:t>
      </w:r>
      <w:r w:rsidR="00317F85">
        <w:rPr>
          <w:rFonts w:ascii="Times New Roman" w:eastAsia="Times New Roman" w:hAnsi="Times New Roman" w:cs="Times New Roman"/>
          <w:color w:val="000000"/>
          <w:kern w:val="0"/>
          <w14:ligatures w14:val="none"/>
        </w:rPr>
        <w:t>.</w:t>
      </w:r>
    </w:p>
    <w:p w14:paraId="51A46906" w14:textId="0A321092" w:rsidR="00F15A44" w:rsidRPr="00CD6135" w:rsidRDefault="00A47474" w:rsidP="00FC5856">
      <w:pPr>
        <w:spacing w:before="100" w:beforeAutospacing="1" w:after="100" w:afterAutospacing="1"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color w:val="000000"/>
          <w:kern w:val="0"/>
          <w14:ligatures w14:val="none"/>
        </w:rPr>
        <w:t xml:space="preserve">To evaluate theories, </w:t>
      </w:r>
      <w:r w:rsidR="006F2EF5">
        <w:rPr>
          <w:rFonts w:ascii="Times New Roman" w:eastAsia="Times New Roman" w:hAnsi="Times New Roman" w:cs="Times New Roman"/>
          <w:color w:val="000000"/>
          <w:kern w:val="0"/>
          <w14:ligatures w14:val="none"/>
        </w:rPr>
        <w:t xml:space="preserve">we </w:t>
      </w:r>
      <w:r w:rsidRPr="00A47474">
        <w:rPr>
          <w:rFonts w:ascii="Times New Roman" w:eastAsia="Times New Roman" w:hAnsi="Times New Roman" w:cs="Times New Roman"/>
          <w:color w:val="000000"/>
          <w:kern w:val="0"/>
          <w14:ligatures w14:val="none"/>
        </w:rPr>
        <w:t xml:space="preserve">construct </w:t>
      </w:r>
      <w:r w:rsidR="00E1188B">
        <w:rPr>
          <w:rFonts w:ascii="Times New Roman" w:eastAsia="Times New Roman" w:hAnsi="Times New Roman" w:cs="Times New Roman"/>
          <w:color w:val="000000"/>
          <w:kern w:val="0"/>
          <w14:ligatures w14:val="none"/>
        </w:rPr>
        <w:t xml:space="preserve">four </w:t>
      </w:r>
      <w:r w:rsidR="008F58CC">
        <w:rPr>
          <w:rFonts w:ascii="Times New Roman" w:eastAsia="Times New Roman" w:hAnsi="Times New Roman" w:cs="Times New Roman"/>
          <w:color w:val="000000"/>
          <w:kern w:val="0"/>
          <w14:ligatures w14:val="none"/>
        </w:rPr>
        <w:t xml:space="preserve">parsimonious </w:t>
      </w:r>
      <w:r w:rsidR="00E1188B">
        <w:rPr>
          <w:rFonts w:ascii="Times New Roman" w:eastAsia="Times New Roman" w:hAnsi="Times New Roman" w:cs="Times New Roman"/>
          <w:color w:val="000000"/>
          <w:kern w:val="0"/>
          <w14:ligatures w14:val="none"/>
        </w:rPr>
        <w:t xml:space="preserve">theoretical </w:t>
      </w:r>
      <w:r w:rsidRPr="00A47474">
        <w:rPr>
          <w:rFonts w:ascii="Times New Roman" w:eastAsia="Times New Roman" w:hAnsi="Times New Roman" w:cs="Times New Roman"/>
          <w:color w:val="000000"/>
          <w:kern w:val="0"/>
          <w14:ligatures w14:val="none"/>
        </w:rPr>
        <w:t>model families</w:t>
      </w:r>
      <w:r w:rsidR="00E1188B">
        <w:rPr>
          <w:rFonts w:ascii="Times New Roman" w:eastAsia="Times New Roman" w:hAnsi="Times New Roman" w:cs="Times New Roman"/>
          <w:color w:val="000000"/>
          <w:kern w:val="0"/>
          <w14:ligatures w14:val="none"/>
        </w:rPr>
        <w:t xml:space="preserve"> a</w:t>
      </w:r>
      <w:r w:rsidR="0025103D">
        <w:rPr>
          <w:rFonts w:ascii="Times New Roman" w:eastAsia="Times New Roman" w:hAnsi="Times New Roman" w:cs="Times New Roman"/>
          <w:color w:val="000000"/>
          <w:kern w:val="0"/>
          <w14:ligatures w14:val="none"/>
        </w:rPr>
        <w:t>s well as</w:t>
      </w:r>
      <w:r w:rsidR="00E1188B">
        <w:rPr>
          <w:rFonts w:ascii="Times New Roman" w:eastAsia="Times New Roman" w:hAnsi="Times New Roman" w:cs="Times New Roman"/>
          <w:color w:val="000000"/>
          <w:kern w:val="0"/>
          <w14:ligatures w14:val="none"/>
        </w:rPr>
        <w:t xml:space="preserve"> </w:t>
      </w:r>
      <w:r w:rsidR="0025103D">
        <w:rPr>
          <w:rFonts w:ascii="Times New Roman" w:eastAsia="Times New Roman" w:hAnsi="Times New Roman" w:cs="Times New Roman"/>
          <w:color w:val="000000"/>
          <w:kern w:val="0"/>
          <w14:ligatures w14:val="none"/>
        </w:rPr>
        <w:t xml:space="preserve">the resulting </w:t>
      </w:r>
      <w:r w:rsidR="00E1188B">
        <w:rPr>
          <w:rFonts w:ascii="Times New Roman" w:eastAsia="Times New Roman" w:hAnsi="Times New Roman" w:cs="Times New Roman"/>
          <w:color w:val="000000"/>
          <w:kern w:val="0"/>
          <w14:ligatures w14:val="none"/>
        </w:rPr>
        <w:t>interaction models</w:t>
      </w:r>
      <w:r w:rsidR="00557794">
        <w:rPr>
          <w:rFonts w:ascii="Times New Roman" w:eastAsia="Times New Roman" w:hAnsi="Times New Roman" w:cs="Times New Roman"/>
          <w:color w:val="000000"/>
          <w:kern w:val="0"/>
          <w14:ligatures w14:val="none"/>
        </w:rPr>
        <w:t>.</w:t>
      </w:r>
      <w:r w:rsidR="0025103D">
        <w:rPr>
          <w:rStyle w:val="FootnoteReference"/>
          <w:rFonts w:ascii="Times New Roman" w:eastAsia="Times New Roman" w:hAnsi="Times New Roman" w:cs="Times New Roman"/>
          <w:color w:val="000000"/>
          <w:kern w:val="0"/>
          <w14:ligatures w14:val="none"/>
        </w:rPr>
        <w:footnoteReference w:id="5"/>
      </w:r>
      <w:r w:rsidR="00557794">
        <w:rPr>
          <w:rFonts w:ascii="Times New Roman" w:eastAsia="Times New Roman" w:hAnsi="Times New Roman" w:cs="Times New Roman"/>
          <w:color w:val="000000"/>
          <w:kern w:val="0"/>
          <w14:ligatures w14:val="none"/>
        </w:rPr>
        <w:t xml:space="preserve"> </w:t>
      </w:r>
      <w:r w:rsidR="00CF3876">
        <w:rPr>
          <w:rFonts w:ascii="Times New Roman" w:eastAsia="Times New Roman" w:hAnsi="Times New Roman" w:cs="Times New Roman"/>
          <w:color w:val="000000"/>
          <w:kern w:val="0"/>
          <w14:ligatures w14:val="none"/>
        </w:rPr>
        <w:t xml:space="preserve"> </w:t>
      </w:r>
    </w:p>
    <w:tbl>
      <w:tblPr>
        <w:tblStyle w:val="PlainTable3"/>
        <w:tblW w:w="0" w:type="auto"/>
        <w:tblLook w:val="04A0" w:firstRow="1" w:lastRow="0" w:firstColumn="1" w:lastColumn="0" w:noHBand="0" w:noVBand="1"/>
      </w:tblPr>
      <w:tblGrid>
        <w:gridCol w:w="2070"/>
        <w:gridCol w:w="7290"/>
      </w:tblGrid>
      <w:tr w:rsidR="00206EE4" w:rsidRPr="00206EE4" w14:paraId="60D8E991" w14:textId="77777777" w:rsidTr="00E169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hideMark/>
          </w:tcPr>
          <w:p w14:paraId="3718C9F6" w14:textId="24EB1B55" w:rsidR="00206EE4" w:rsidRPr="00206EE4" w:rsidRDefault="00FC5856" w:rsidP="00206EE4">
            <w:pPr>
              <w:jc w:val="center"/>
              <w:rPr>
                <w:rFonts w:ascii="Times New Roman" w:eastAsia="Times New Roman" w:hAnsi="Times New Roman" w:cs="Times New Roman"/>
                <w:kern w:val="0"/>
                <w:sz w:val="22"/>
                <w:szCs w:val="22"/>
                <w14:ligatures w14:val="none"/>
              </w:rPr>
            </w:pPr>
            <w:r w:rsidRPr="00454BA1">
              <w:rPr>
                <w:rFonts w:ascii="Times New Roman" w:eastAsia="Times New Roman" w:hAnsi="Times New Roman" w:cs="Times New Roman"/>
                <w:caps w:val="0"/>
                <w:kern w:val="0"/>
                <w:sz w:val="22"/>
                <w:szCs w:val="22"/>
                <w14:ligatures w14:val="none"/>
              </w:rPr>
              <w:t>Model</w:t>
            </w:r>
            <w:r w:rsidR="00454BA1">
              <w:rPr>
                <w:rFonts w:ascii="Times New Roman" w:eastAsia="Times New Roman" w:hAnsi="Times New Roman" w:cs="Times New Roman"/>
                <w:caps w:val="0"/>
                <w:kern w:val="0"/>
                <w:sz w:val="22"/>
                <w:szCs w:val="22"/>
                <w14:ligatures w14:val="none"/>
              </w:rPr>
              <w:t>s</w:t>
            </w:r>
          </w:p>
        </w:tc>
        <w:tc>
          <w:tcPr>
            <w:tcW w:w="7290" w:type="dxa"/>
            <w:hideMark/>
          </w:tcPr>
          <w:p w14:paraId="4D08ACC5" w14:textId="2E7E100D" w:rsidR="00206EE4" w:rsidRPr="00206EE4" w:rsidRDefault="00FC5856" w:rsidP="00206E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sidRPr="00454BA1">
              <w:rPr>
                <w:rFonts w:ascii="Times New Roman" w:eastAsia="Times New Roman" w:hAnsi="Times New Roman" w:cs="Times New Roman"/>
                <w:caps w:val="0"/>
                <w:kern w:val="0"/>
                <w:sz w:val="22"/>
                <w:szCs w:val="22"/>
                <w14:ligatures w14:val="none"/>
              </w:rPr>
              <w:t>Predictors</w:t>
            </w:r>
          </w:p>
        </w:tc>
      </w:tr>
      <w:tr w:rsidR="00206EE4" w:rsidRPr="00206EE4" w14:paraId="4BE1FAF4"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7C853E02" w14:textId="11AA0397" w:rsidR="00206EE4" w:rsidRPr="001C3C1D" w:rsidRDefault="007B655F"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Complete Model</w:t>
            </w:r>
          </w:p>
        </w:tc>
        <w:tc>
          <w:tcPr>
            <w:tcW w:w="7290" w:type="dxa"/>
            <w:hideMark/>
          </w:tcPr>
          <w:p w14:paraId="1D1E84BB" w14:textId="54CACCF3" w:rsidR="00206EE4" w:rsidRPr="001C3C1D" w:rsidRDefault="00FC5856"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Population (</w:t>
            </w:r>
            <w:r w:rsidR="00B8015A" w:rsidRPr="001C3C1D">
              <w:rPr>
                <w:rFonts w:asciiTheme="majorBidi" w:eastAsia="Times New Roman" w:hAnsiTheme="majorBidi" w:cstheme="majorBidi"/>
                <w:kern w:val="0"/>
                <w14:ligatures w14:val="none"/>
              </w:rPr>
              <w:t>l</w:t>
            </w:r>
            <w:r w:rsidRPr="001C3C1D">
              <w:rPr>
                <w:rFonts w:asciiTheme="majorBidi" w:eastAsia="Times New Roman" w:hAnsiTheme="majorBidi" w:cstheme="majorBidi"/>
                <w:kern w:val="0"/>
                <w14:ligatures w14:val="none"/>
              </w:rPr>
              <w:t>og),</w:t>
            </w:r>
            <w:r w:rsidR="00C96EFC" w:rsidRPr="001C3C1D">
              <w:rPr>
                <w:rFonts w:asciiTheme="majorBidi" w:eastAsia="Times New Roman" w:hAnsiTheme="majorBidi" w:cstheme="majorBidi"/>
                <w:kern w:val="0"/>
                <w14:ligatures w14:val="none"/>
              </w:rPr>
              <w:t xml:space="preserve"> GDP </w:t>
            </w:r>
            <w:r w:rsidR="00E433C3">
              <w:rPr>
                <w:rFonts w:asciiTheme="majorBidi" w:eastAsia="Times New Roman" w:hAnsiTheme="majorBidi" w:cstheme="majorBidi"/>
                <w:kern w:val="0"/>
                <w14:ligatures w14:val="none"/>
              </w:rPr>
              <w:t>per capita</w:t>
            </w:r>
            <w:r w:rsidR="00CF5FCB" w:rsidRPr="001C3C1D">
              <w:rPr>
                <w:rFonts w:asciiTheme="majorBidi" w:eastAsia="Times New Roman" w:hAnsiTheme="majorBidi" w:cstheme="majorBidi"/>
                <w:kern w:val="0"/>
                <w14:ligatures w14:val="none"/>
              </w:rPr>
              <w:t xml:space="preserve"> </w:t>
            </w:r>
            <w:r w:rsidR="00C96EFC" w:rsidRPr="001C3C1D">
              <w:rPr>
                <w:rFonts w:asciiTheme="majorBidi" w:eastAsia="Times New Roman" w:hAnsiTheme="majorBidi" w:cstheme="majorBidi"/>
                <w:kern w:val="0"/>
                <w14:ligatures w14:val="none"/>
              </w:rPr>
              <w:t>(log)</w:t>
            </w:r>
            <w:r w:rsidRPr="001C3C1D">
              <w:rPr>
                <w:rFonts w:asciiTheme="majorBidi" w:eastAsia="Times New Roman" w:hAnsiTheme="majorBidi" w:cstheme="majorBidi"/>
                <w:kern w:val="0"/>
                <w14:ligatures w14:val="none"/>
              </w:rPr>
              <w:t xml:space="preserve"> Democracy, Group Size, Separatist Kin, Regional Autonomy, Federal System, Cold War (Dummy), Lost Autonomy (Since 1800), </w:t>
            </w:r>
            <w:r w:rsidR="005659C1">
              <w:rPr>
                <w:rFonts w:asciiTheme="majorBidi" w:eastAsia="Times New Roman" w:hAnsiTheme="majorBidi" w:cstheme="majorBidi"/>
                <w:kern w:val="0"/>
                <w14:ligatures w14:val="none"/>
              </w:rPr>
              <w:t>H</w:t>
            </w:r>
            <w:r w:rsidR="005659C1" w:rsidRPr="001C3C1D">
              <w:rPr>
                <w:rFonts w:asciiTheme="majorBidi" w:hAnsiTheme="majorBidi" w:cstheme="majorBidi"/>
                <w:color w:val="000000"/>
                <w:kern w:val="0"/>
              </w:rPr>
              <w:t xml:space="preserve">istorically </w:t>
            </w:r>
            <w:r w:rsidR="005659C1">
              <w:rPr>
                <w:rFonts w:asciiTheme="majorBidi" w:hAnsiTheme="majorBidi" w:cstheme="majorBidi"/>
                <w:color w:val="000000"/>
                <w:kern w:val="0"/>
              </w:rPr>
              <w:t>E</w:t>
            </w:r>
            <w:r w:rsidR="005659C1" w:rsidRPr="001C3C1D">
              <w:rPr>
                <w:rFonts w:asciiTheme="majorBidi" w:hAnsiTheme="majorBidi" w:cstheme="majorBidi"/>
                <w:color w:val="000000"/>
                <w:kern w:val="0"/>
              </w:rPr>
              <w:t xml:space="preserve">xcluded </w:t>
            </w:r>
            <w:r w:rsidR="005659C1">
              <w:rPr>
                <w:rFonts w:asciiTheme="majorBidi" w:hAnsiTheme="majorBidi" w:cstheme="majorBidi"/>
                <w:color w:val="000000"/>
                <w:kern w:val="0"/>
              </w:rPr>
              <w:t>from</w:t>
            </w:r>
            <w:r w:rsidR="005659C1" w:rsidRPr="001C3C1D">
              <w:rPr>
                <w:rFonts w:asciiTheme="majorBidi" w:hAnsiTheme="majorBidi" w:cstheme="majorBidi"/>
                <w:color w:val="000000"/>
                <w:kern w:val="0"/>
              </w:rPr>
              <w:t xml:space="preserve"> </w:t>
            </w:r>
            <w:r w:rsidR="005659C1">
              <w:rPr>
                <w:rFonts w:asciiTheme="majorBidi" w:hAnsiTheme="majorBidi" w:cstheme="majorBidi"/>
                <w:color w:val="000000"/>
                <w:kern w:val="0"/>
              </w:rPr>
              <w:t>P</w:t>
            </w:r>
            <w:r w:rsidR="005659C1" w:rsidRPr="001C3C1D">
              <w:rPr>
                <w:rFonts w:asciiTheme="majorBidi" w:hAnsiTheme="majorBidi" w:cstheme="majorBidi"/>
                <w:color w:val="000000"/>
                <w:kern w:val="0"/>
              </w:rPr>
              <w:t>olitics</w:t>
            </w:r>
            <w:r w:rsidRPr="001C3C1D">
              <w:rPr>
                <w:rFonts w:asciiTheme="majorBidi" w:eastAsia="Times New Roman" w:hAnsiTheme="majorBidi" w:cstheme="majorBidi"/>
                <w:kern w:val="0"/>
                <w14:ligatures w14:val="none"/>
              </w:rPr>
              <w:t xml:space="preserve">, Lost Autonomy (Past 2 </w:t>
            </w:r>
            <w:r w:rsidR="00B8015A" w:rsidRPr="001C3C1D">
              <w:rPr>
                <w:rFonts w:asciiTheme="majorBidi" w:eastAsia="Times New Roman" w:hAnsiTheme="majorBidi" w:cstheme="majorBidi"/>
                <w:kern w:val="0"/>
                <w14:ligatures w14:val="none"/>
              </w:rPr>
              <w:t>Years</w:t>
            </w:r>
            <w:r w:rsidRPr="001C3C1D">
              <w:rPr>
                <w:rFonts w:asciiTheme="majorBidi" w:eastAsia="Times New Roman" w:hAnsiTheme="majorBidi" w:cstheme="majorBidi"/>
                <w:kern w:val="0"/>
                <w14:ligatures w14:val="none"/>
              </w:rPr>
              <w:t xml:space="preserve">), Political Exclusion (Past 2 </w:t>
            </w:r>
            <w:r w:rsidR="00B8015A" w:rsidRPr="001C3C1D">
              <w:rPr>
                <w:rFonts w:asciiTheme="majorBidi" w:eastAsia="Times New Roman" w:hAnsiTheme="majorBidi" w:cstheme="majorBidi"/>
                <w:kern w:val="0"/>
                <w14:ligatures w14:val="none"/>
              </w:rPr>
              <w:t>Years</w:t>
            </w:r>
            <w:r w:rsidRPr="001C3C1D">
              <w:rPr>
                <w:rFonts w:asciiTheme="majorBidi" w:eastAsia="Times New Roman" w:hAnsiTheme="majorBidi" w:cstheme="majorBidi"/>
                <w:kern w:val="0"/>
                <w14:ligatures w14:val="none"/>
              </w:rPr>
              <w:t>)</w:t>
            </w:r>
            <w:r w:rsidR="007B655F" w:rsidRPr="001C3C1D">
              <w:rPr>
                <w:rFonts w:asciiTheme="majorBidi" w:eastAsia="Times New Roman" w:hAnsiTheme="majorBidi" w:cstheme="majorBidi"/>
                <w:kern w:val="0"/>
                <w14:ligatures w14:val="none"/>
              </w:rPr>
              <w:t>, Noncontiguity, Number of Relevant Groups, Hydrocarbon Reserves</w:t>
            </w:r>
            <w:r w:rsidR="001B700E" w:rsidRPr="001C3C1D">
              <w:rPr>
                <w:rFonts w:asciiTheme="majorBidi" w:eastAsia="Times New Roman" w:hAnsiTheme="majorBidi" w:cstheme="majorBidi"/>
                <w:kern w:val="0"/>
                <w14:ligatures w14:val="none"/>
              </w:rPr>
              <w:t>(log)</w:t>
            </w:r>
            <w:r w:rsidR="007B655F" w:rsidRPr="001C3C1D">
              <w:rPr>
                <w:rFonts w:asciiTheme="majorBidi" w:eastAsia="Times New Roman" w:hAnsiTheme="majorBidi" w:cstheme="majorBidi"/>
                <w:kern w:val="0"/>
                <w14:ligatures w14:val="none"/>
              </w:rPr>
              <w:t>, Mountainous Terrain</w:t>
            </w:r>
          </w:p>
          <w:p w14:paraId="71F3499E" w14:textId="77777777" w:rsidR="006A084D" w:rsidRPr="001C3C1D" w:rsidRDefault="006A084D"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p>
          <w:p w14:paraId="1EA8C6DE" w14:textId="69D88449" w:rsidR="00B26ACD" w:rsidRPr="001C3C1D" w:rsidRDefault="00B26ACD"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p>
        </w:tc>
      </w:tr>
      <w:tr w:rsidR="00206EE4" w:rsidRPr="00206EE4" w14:paraId="0EFA8FC3" w14:textId="77777777" w:rsidTr="00E16975">
        <w:tc>
          <w:tcPr>
            <w:cnfStyle w:val="001000000000" w:firstRow="0" w:lastRow="0" w:firstColumn="1" w:lastColumn="0" w:oddVBand="0" w:evenVBand="0" w:oddHBand="0" w:evenHBand="0" w:firstRowFirstColumn="0" w:firstRowLastColumn="0" w:lastRowFirstColumn="0" w:lastRowLastColumn="0"/>
            <w:tcW w:w="2070" w:type="dxa"/>
            <w:hideMark/>
          </w:tcPr>
          <w:p w14:paraId="3DE8DC88" w14:textId="6E6B42E3"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 xml:space="preserve">Historical Grievances </w:t>
            </w:r>
            <w:r w:rsidR="00E27593" w:rsidRPr="001C3C1D">
              <w:rPr>
                <w:rFonts w:asciiTheme="majorBidi" w:eastAsia="Times New Roman" w:hAnsiTheme="majorBidi" w:cstheme="majorBidi"/>
                <w:b w:val="0"/>
                <w:bCs w:val="0"/>
                <w:caps w:val="0"/>
                <w:kern w:val="0"/>
                <w14:ligatures w14:val="none"/>
              </w:rPr>
              <w:t>(HG)</w:t>
            </w:r>
          </w:p>
        </w:tc>
        <w:tc>
          <w:tcPr>
            <w:tcW w:w="7290" w:type="dxa"/>
            <w:hideMark/>
          </w:tcPr>
          <w:p w14:paraId="296125F9" w14:textId="76F5CDBC" w:rsidR="00206EE4" w:rsidRPr="001C3C1D" w:rsidRDefault="00FC5856"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 xml:space="preserve">Lost Autonomy (Since 1800), </w:t>
            </w:r>
            <w:r w:rsidR="001C3C1D">
              <w:rPr>
                <w:rFonts w:asciiTheme="majorBidi" w:eastAsia="Times New Roman" w:hAnsiTheme="majorBidi" w:cstheme="majorBidi"/>
                <w:kern w:val="0"/>
                <w14:ligatures w14:val="none"/>
              </w:rPr>
              <w:t>H</w:t>
            </w:r>
            <w:r w:rsidR="001229CC" w:rsidRPr="001C3C1D">
              <w:rPr>
                <w:rFonts w:asciiTheme="majorBidi" w:hAnsiTheme="majorBidi" w:cstheme="majorBidi"/>
                <w:color w:val="000000"/>
                <w:kern w:val="0"/>
              </w:rPr>
              <w:t xml:space="preserve">istorically </w:t>
            </w:r>
            <w:r w:rsidR="001C3C1D">
              <w:rPr>
                <w:rFonts w:asciiTheme="majorBidi" w:hAnsiTheme="majorBidi" w:cstheme="majorBidi"/>
                <w:color w:val="000000"/>
                <w:kern w:val="0"/>
              </w:rPr>
              <w:t>E</w:t>
            </w:r>
            <w:r w:rsidR="001229CC" w:rsidRPr="001C3C1D">
              <w:rPr>
                <w:rFonts w:asciiTheme="majorBidi" w:hAnsiTheme="majorBidi" w:cstheme="majorBidi"/>
                <w:color w:val="000000"/>
                <w:kern w:val="0"/>
              </w:rPr>
              <w:t xml:space="preserve">xcluded </w:t>
            </w:r>
            <w:r w:rsidR="009B734A">
              <w:rPr>
                <w:rFonts w:asciiTheme="majorBidi" w:hAnsiTheme="majorBidi" w:cstheme="majorBidi"/>
                <w:color w:val="000000"/>
                <w:kern w:val="0"/>
              </w:rPr>
              <w:t>from</w:t>
            </w:r>
            <w:r w:rsidR="001229CC" w:rsidRPr="001C3C1D">
              <w:rPr>
                <w:rFonts w:asciiTheme="majorBidi" w:hAnsiTheme="majorBidi" w:cstheme="majorBidi"/>
                <w:color w:val="000000"/>
                <w:kern w:val="0"/>
              </w:rPr>
              <w:t xml:space="preserve"> </w:t>
            </w:r>
            <w:r w:rsidR="001C3C1D">
              <w:rPr>
                <w:rFonts w:asciiTheme="majorBidi" w:hAnsiTheme="majorBidi" w:cstheme="majorBidi"/>
                <w:color w:val="000000"/>
                <w:kern w:val="0"/>
              </w:rPr>
              <w:t>P</w:t>
            </w:r>
            <w:r w:rsidR="001229CC" w:rsidRPr="001C3C1D">
              <w:rPr>
                <w:rFonts w:asciiTheme="majorBidi" w:hAnsiTheme="majorBidi" w:cstheme="majorBidi"/>
                <w:color w:val="000000"/>
                <w:kern w:val="0"/>
              </w:rPr>
              <w:t>olitics</w:t>
            </w:r>
            <w:r w:rsidRPr="001C3C1D">
              <w:rPr>
                <w:rFonts w:asciiTheme="majorBidi" w:eastAsia="Times New Roman" w:hAnsiTheme="majorBidi" w:cstheme="majorBidi"/>
                <w:kern w:val="0"/>
                <w14:ligatures w14:val="none"/>
              </w:rPr>
              <w:t xml:space="preserve"> </w:t>
            </w:r>
          </w:p>
        </w:tc>
      </w:tr>
      <w:tr w:rsidR="00206EE4" w:rsidRPr="00206EE4" w14:paraId="7E2164DB"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3D69D833" w14:textId="13A5EA48"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Recent Grievances</w:t>
            </w:r>
            <w:r w:rsidR="00E27593" w:rsidRPr="001C3C1D">
              <w:rPr>
                <w:rFonts w:asciiTheme="majorBidi" w:eastAsia="Times New Roman" w:hAnsiTheme="majorBidi" w:cstheme="majorBidi"/>
                <w:b w:val="0"/>
                <w:bCs w:val="0"/>
                <w:caps w:val="0"/>
                <w:kern w:val="0"/>
                <w14:ligatures w14:val="none"/>
              </w:rPr>
              <w:t xml:space="preserve"> (RG)</w:t>
            </w:r>
          </w:p>
        </w:tc>
        <w:tc>
          <w:tcPr>
            <w:tcW w:w="7290" w:type="dxa"/>
            <w:hideMark/>
          </w:tcPr>
          <w:p w14:paraId="2097E463" w14:textId="5D997A62" w:rsidR="00206EE4" w:rsidRPr="001C3C1D" w:rsidRDefault="00FC5856"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 xml:space="preserve">Political Exclusion (Past 2 </w:t>
            </w:r>
            <w:r w:rsidR="00B8015A" w:rsidRPr="001C3C1D">
              <w:rPr>
                <w:rFonts w:asciiTheme="majorBidi" w:eastAsia="Times New Roman" w:hAnsiTheme="majorBidi" w:cstheme="majorBidi"/>
                <w:kern w:val="0"/>
                <w14:ligatures w14:val="none"/>
              </w:rPr>
              <w:t>Years</w:t>
            </w:r>
            <w:r w:rsidRPr="001C3C1D">
              <w:rPr>
                <w:rFonts w:asciiTheme="majorBidi" w:eastAsia="Times New Roman" w:hAnsiTheme="majorBidi" w:cstheme="majorBidi"/>
                <w:kern w:val="0"/>
                <w14:ligatures w14:val="none"/>
              </w:rPr>
              <w:t xml:space="preserve">), Lost Autonomy (Past 2 </w:t>
            </w:r>
            <w:r w:rsidR="00B8015A" w:rsidRPr="001C3C1D">
              <w:rPr>
                <w:rFonts w:asciiTheme="majorBidi" w:eastAsia="Times New Roman" w:hAnsiTheme="majorBidi" w:cstheme="majorBidi"/>
                <w:kern w:val="0"/>
                <w14:ligatures w14:val="none"/>
              </w:rPr>
              <w:t>Years</w:t>
            </w:r>
            <w:r w:rsidRPr="001C3C1D">
              <w:rPr>
                <w:rFonts w:asciiTheme="majorBidi" w:eastAsia="Times New Roman" w:hAnsiTheme="majorBidi" w:cstheme="majorBidi"/>
                <w:kern w:val="0"/>
                <w14:ligatures w14:val="none"/>
              </w:rPr>
              <w:t>)</w:t>
            </w:r>
          </w:p>
        </w:tc>
      </w:tr>
      <w:tr w:rsidR="00206EE4" w:rsidRPr="00206EE4" w14:paraId="747D3AC0" w14:textId="77777777" w:rsidTr="00E16975">
        <w:tc>
          <w:tcPr>
            <w:cnfStyle w:val="001000000000" w:firstRow="0" w:lastRow="0" w:firstColumn="1" w:lastColumn="0" w:oddVBand="0" w:evenVBand="0" w:oddHBand="0" w:evenHBand="0" w:firstRowFirstColumn="0" w:firstRowLastColumn="0" w:lastRowFirstColumn="0" w:lastRowLastColumn="0"/>
            <w:tcW w:w="2070" w:type="dxa"/>
            <w:hideMark/>
          </w:tcPr>
          <w:p w14:paraId="62271CEB" w14:textId="5CFD0533"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Political Opportunity</w:t>
            </w:r>
            <w:r w:rsidR="00E27593" w:rsidRPr="001C3C1D">
              <w:rPr>
                <w:rFonts w:asciiTheme="majorBidi" w:eastAsia="Times New Roman" w:hAnsiTheme="majorBidi" w:cstheme="majorBidi"/>
                <w:b w:val="0"/>
                <w:bCs w:val="0"/>
                <w:caps w:val="0"/>
                <w:kern w:val="0"/>
                <w14:ligatures w14:val="none"/>
              </w:rPr>
              <w:t xml:space="preserve"> (PO)</w:t>
            </w:r>
          </w:p>
        </w:tc>
        <w:tc>
          <w:tcPr>
            <w:tcW w:w="7290" w:type="dxa"/>
            <w:hideMark/>
          </w:tcPr>
          <w:p w14:paraId="69AF8E4C" w14:textId="34D168F5" w:rsidR="00206EE4" w:rsidRPr="001C3C1D" w:rsidRDefault="00FC5856"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Democracy, Regional Autonomy, Federal System, Cold War (Dummy),</w:t>
            </w:r>
            <w:r w:rsidR="00F9648C" w:rsidRPr="001C3C1D">
              <w:rPr>
                <w:rFonts w:asciiTheme="majorBidi" w:hAnsiTheme="majorBidi" w:cstheme="majorBidi"/>
                <w:i/>
                <w:iCs/>
                <w:kern w:val="0"/>
              </w:rPr>
              <w:t xml:space="preserve"> </w:t>
            </w:r>
            <w:r w:rsidR="009B734A" w:rsidRPr="009B734A">
              <w:rPr>
                <w:rFonts w:asciiTheme="majorBidi" w:hAnsiTheme="majorBidi" w:cstheme="majorBidi"/>
                <w:kern w:val="0"/>
              </w:rPr>
              <w:t>Noncontiguity</w:t>
            </w:r>
            <w:r w:rsidR="00F9648C" w:rsidRPr="001C3C1D">
              <w:rPr>
                <w:rFonts w:asciiTheme="majorBidi" w:hAnsiTheme="majorBidi" w:cstheme="majorBidi"/>
                <w:i/>
                <w:iCs/>
                <w:kern w:val="0"/>
              </w:rPr>
              <w:t>,</w:t>
            </w:r>
            <w:r w:rsidR="002B7963" w:rsidRPr="001C3C1D">
              <w:rPr>
                <w:rFonts w:asciiTheme="majorBidi" w:eastAsia="Times New Roman" w:hAnsiTheme="majorBidi" w:cstheme="majorBidi"/>
                <w:kern w:val="0"/>
                <w14:ligatures w14:val="none"/>
              </w:rPr>
              <w:t xml:space="preserve"> Number of Relevant Groups</w:t>
            </w:r>
          </w:p>
          <w:p w14:paraId="708A83AE" w14:textId="77777777" w:rsidR="006A084D" w:rsidRPr="001C3C1D" w:rsidRDefault="006A084D"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p>
          <w:p w14:paraId="118D4ADA" w14:textId="782A9FA7" w:rsidR="00B26ACD" w:rsidRPr="001C3C1D" w:rsidRDefault="00B26ACD"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p>
        </w:tc>
      </w:tr>
      <w:tr w:rsidR="00206EE4" w:rsidRPr="00206EE4" w14:paraId="505FFED0"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343C261" w14:textId="493C68BE"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 xml:space="preserve">Resource Mobilization </w:t>
            </w:r>
            <w:r w:rsidR="00D872D9" w:rsidRPr="001C3C1D">
              <w:rPr>
                <w:rFonts w:asciiTheme="majorBidi" w:eastAsia="Times New Roman" w:hAnsiTheme="majorBidi" w:cstheme="majorBidi"/>
                <w:b w:val="0"/>
                <w:bCs w:val="0"/>
                <w:caps w:val="0"/>
                <w:kern w:val="0"/>
                <w14:ligatures w14:val="none"/>
              </w:rPr>
              <w:t>(RM)</w:t>
            </w:r>
          </w:p>
        </w:tc>
        <w:tc>
          <w:tcPr>
            <w:tcW w:w="7290" w:type="dxa"/>
            <w:hideMark/>
          </w:tcPr>
          <w:p w14:paraId="289A4106" w14:textId="07A71FDD" w:rsidR="00206EE4" w:rsidRPr="001C3C1D" w:rsidRDefault="00FC5856" w:rsidP="008F58CC">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Group Size, Separatist Kin, Hydrocarbon Reserves</w:t>
            </w:r>
            <w:r w:rsidR="00A67AF1" w:rsidRPr="001C3C1D">
              <w:rPr>
                <w:rFonts w:asciiTheme="majorBidi" w:eastAsia="Times New Roman" w:hAnsiTheme="majorBidi" w:cstheme="majorBidi"/>
                <w:kern w:val="0"/>
                <w14:ligatures w14:val="none"/>
              </w:rPr>
              <w:t>(log)</w:t>
            </w:r>
            <w:r w:rsidRPr="001C3C1D">
              <w:rPr>
                <w:rFonts w:asciiTheme="majorBidi" w:eastAsia="Times New Roman" w:hAnsiTheme="majorBidi" w:cstheme="majorBidi"/>
                <w:kern w:val="0"/>
                <w14:ligatures w14:val="none"/>
              </w:rPr>
              <w:t>, Mountainous Terrain</w:t>
            </w:r>
          </w:p>
          <w:p w14:paraId="1DE100FD" w14:textId="77777777" w:rsidR="006A084D" w:rsidRPr="001C3C1D" w:rsidRDefault="006A084D" w:rsidP="00B26AC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p>
          <w:p w14:paraId="5984A2A2" w14:textId="763B0BE2" w:rsidR="00A67AF1" w:rsidRPr="001C3C1D" w:rsidRDefault="00A67AF1" w:rsidP="00B26AC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p>
        </w:tc>
      </w:tr>
      <w:tr w:rsidR="00206EE4" w:rsidRPr="00206EE4" w14:paraId="43A0A0A5" w14:textId="77777777" w:rsidTr="00E16975">
        <w:tc>
          <w:tcPr>
            <w:cnfStyle w:val="001000000000" w:firstRow="0" w:lastRow="0" w:firstColumn="1" w:lastColumn="0" w:oddVBand="0" w:evenVBand="0" w:oddHBand="0" w:evenHBand="0" w:firstRowFirstColumn="0" w:firstRowLastColumn="0" w:lastRowFirstColumn="0" w:lastRowLastColumn="0"/>
            <w:tcW w:w="2070" w:type="dxa"/>
            <w:hideMark/>
          </w:tcPr>
          <w:p w14:paraId="0DBF59DE" w14:textId="77B58797"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P</w:t>
            </w:r>
            <w:r w:rsidR="00091B1D" w:rsidRPr="001C3C1D">
              <w:rPr>
                <w:rFonts w:asciiTheme="majorBidi" w:eastAsia="Times New Roman" w:hAnsiTheme="majorBidi" w:cstheme="majorBidi"/>
                <w:b w:val="0"/>
                <w:bCs w:val="0"/>
                <w:caps w:val="0"/>
                <w:kern w:val="0"/>
                <w14:ligatures w14:val="none"/>
              </w:rPr>
              <w:t>O</w:t>
            </w:r>
            <w:r w:rsidRPr="001C3C1D">
              <w:rPr>
                <w:rFonts w:asciiTheme="majorBidi" w:eastAsia="Times New Roman" w:hAnsiTheme="majorBidi" w:cstheme="majorBidi"/>
                <w:b w:val="0"/>
                <w:bCs w:val="0"/>
                <w:caps w:val="0"/>
                <w:kern w:val="0"/>
                <w14:ligatures w14:val="none"/>
              </w:rPr>
              <w:t xml:space="preserve"> × </w:t>
            </w:r>
            <w:r w:rsidR="00D872D9" w:rsidRPr="001C3C1D">
              <w:rPr>
                <w:rFonts w:asciiTheme="majorBidi" w:eastAsia="Times New Roman" w:hAnsiTheme="majorBidi" w:cstheme="majorBidi"/>
                <w:b w:val="0"/>
                <w:bCs w:val="0"/>
                <w:caps w:val="0"/>
                <w:kern w:val="0"/>
                <w14:ligatures w14:val="none"/>
              </w:rPr>
              <w:t>HG</w:t>
            </w:r>
          </w:p>
        </w:tc>
        <w:tc>
          <w:tcPr>
            <w:tcW w:w="7290" w:type="dxa"/>
            <w:hideMark/>
          </w:tcPr>
          <w:p w14:paraId="00E74722" w14:textId="4CAF902C" w:rsidR="00206EE4" w:rsidRPr="001C3C1D" w:rsidRDefault="00454BA1"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A</w:t>
            </w:r>
            <w:r w:rsidR="00D872D9" w:rsidRPr="001C3C1D">
              <w:rPr>
                <w:rFonts w:asciiTheme="majorBidi" w:eastAsia="Times New Roman" w:hAnsiTheme="majorBidi" w:cstheme="majorBidi"/>
                <w:kern w:val="0"/>
                <w14:ligatures w14:val="none"/>
              </w:rPr>
              <w:t>ll</w:t>
            </w:r>
            <w:r w:rsidR="00FC5856" w:rsidRPr="001C3C1D">
              <w:rPr>
                <w:rFonts w:asciiTheme="majorBidi" w:eastAsia="Times New Roman" w:hAnsiTheme="majorBidi" w:cstheme="majorBidi"/>
                <w:kern w:val="0"/>
                <w14:ligatures w14:val="none"/>
              </w:rPr>
              <w:t xml:space="preserve"> P</w:t>
            </w:r>
            <w:r w:rsidR="00AC7B48" w:rsidRPr="001C3C1D">
              <w:rPr>
                <w:rFonts w:asciiTheme="majorBidi" w:eastAsia="Times New Roman" w:hAnsiTheme="majorBidi" w:cstheme="majorBidi"/>
                <w:kern w:val="0"/>
                <w14:ligatures w14:val="none"/>
              </w:rPr>
              <w:t>O</w:t>
            </w:r>
            <w:r w:rsidR="00D872D9" w:rsidRPr="001C3C1D">
              <w:rPr>
                <w:rFonts w:asciiTheme="majorBidi" w:eastAsia="Times New Roman" w:hAnsiTheme="majorBidi" w:cstheme="majorBidi"/>
                <w:kern w:val="0"/>
                <w14:ligatures w14:val="none"/>
              </w:rPr>
              <w:t xml:space="preserve"> and HG</w:t>
            </w:r>
            <w:r w:rsidR="00FC5856" w:rsidRPr="001C3C1D">
              <w:rPr>
                <w:rFonts w:asciiTheme="majorBidi" w:eastAsia="Times New Roman" w:hAnsiTheme="majorBidi" w:cstheme="majorBidi"/>
                <w:kern w:val="0"/>
                <w14:ligatures w14:val="none"/>
              </w:rPr>
              <w:t xml:space="preserve"> </w:t>
            </w:r>
            <w:r w:rsidRPr="001C3C1D">
              <w:rPr>
                <w:rFonts w:asciiTheme="majorBidi" w:eastAsia="Times New Roman" w:hAnsiTheme="majorBidi" w:cstheme="majorBidi"/>
                <w:kern w:val="0"/>
                <w14:ligatures w14:val="none"/>
              </w:rPr>
              <w:t>Predictors</w:t>
            </w:r>
            <w:r w:rsidR="00FC5856" w:rsidRPr="001C3C1D">
              <w:rPr>
                <w:rFonts w:asciiTheme="majorBidi" w:eastAsia="Times New Roman" w:hAnsiTheme="majorBidi" w:cstheme="majorBidi"/>
                <w:kern w:val="0"/>
                <w14:ligatures w14:val="none"/>
              </w:rPr>
              <w:t xml:space="preserve"> </w:t>
            </w:r>
          </w:p>
        </w:tc>
      </w:tr>
      <w:tr w:rsidR="00206EE4" w:rsidRPr="00206EE4" w14:paraId="10A6A485"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43FA3C0" w14:textId="6CB93124"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P</w:t>
            </w:r>
            <w:r w:rsidR="00091B1D" w:rsidRPr="001C3C1D">
              <w:rPr>
                <w:rFonts w:asciiTheme="majorBidi" w:eastAsia="Times New Roman" w:hAnsiTheme="majorBidi" w:cstheme="majorBidi"/>
                <w:b w:val="0"/>
                <w:bCs w:val="0"/>
                <w:caps w:val="0"/>
                <w:kern w:val="0"/>
                <w14:ligatures w14:val="none"/>
              </w:rPr>
              <w:t>O</w:t>
            </w:r>
            <w:r w:rsidRPr="001C3C1D">
              <w:rPr>
                <w:rFonts w:asciiTheme="majorBidi" w:eastAsia="Times New Roman" w:hAnsiTheme="majorBidi" w:cstheme="majorBidi"/>
                <w:b w:val="0"/>
                <w:bCs w:val="0"/>
                <w:caps w:val="0"/>
                <w:kern w:val="0"/>
                <w14:ligatures w14:val="none"/>
              </w:rPr>
              <w:t xml:space="preserve"> × </w:t>
            </w:r>
            <w:r w:rsidR="00D872D9" w:rsidRPr="001C3C1D">
              <w:rPr>
                <w:rFonts w:asciiTheme="majorBidi" w:eastAsia="Times New Roman" w:hAnsiTheme="majorBidi" w:cstheme="majorBidi"/>
                <w:b w:val="0"/>
                <w:bCs w:val="0"/>
                <w:caps w:val="0"/>
                <w:kern w:val="0"/>
                <w14:ligatures w14:val="none"/>
              </w:rPr>
              <w:t>RG</w:t>
            </w:r>
          </w:p>
        </w:tc>
        <w:tc>
          <w:tcPr>
            <w:tcW w:w="7290" w:type="dxa"/>
            <w:hideMark/>
          </w:tcPr>
          <w:p w14:paraId="1879B878" w14:textId="19C56F53" w:rsidR="00206EE4" w:rsidRPr="001C3C1D" w:rsidRDefault="00454BA1"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All PO and RG Predictors</w:t>
            </w:r>
          </w:p>
        </w:tc>
      </w:tr>
      <w:tr w:rsidR="00206EE4" w:rsidRPr="00206EE4" w14:paraId="7EF10EA3" w14:textId="77777777" w:rsidTr="00E16975">
        <w:tc>
          <w:tcPr>
            <w:cnfStyle w:val="001000000000" w:firstRow="0" w:lastRow="0" w:firstColumn="1" w:lastColumn="0" w:oddVBand="0" w:evenVBand="0" w:oddHBand="0" w:evenHBand="0" w:firstRowFirstColumn="0" w:firstRowLastColumn="0" w:lastRowFirstColumn="0" w:lastRowLastColumn="0"/>
            <w:tcW w:w="2070" w:type="dxa"/>
            <w:hideMark/>
          </w:tcPr>
          <w:p w14:paraId="64023C62" w14:textId="63B7FA5D"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P</w:t>
            </w:r>
            <w:r w:rsidR="00091B1D" w:rsidRPr="001C3C1D">
              <w:rPr>
                <w:rFonts w:asciiTheme="majorBidi" w:eastAsia="Times New Roman" w:hAnsiTheme="majorBidi" w:cstheme="majorBidi"/>
                <w:b w:val="0"/>
                <w:bCs w:val="0"/>
                <w:caps w:val="0"/>
                <w:kern w:val="0"/>
                <w14:ligatures w14:val="none"/>
              </w:rPr>
              <w:t>O</w:t>
            </w:r>
            <w:r w:rsidRPr="001C3C1D">
              <w:rPr>
                <w:rFonts w:asciiTheme="majorBidi" w:eastAsia="Times New Roman" w:hAnsiTheme="majorBidi" w:cstheme="majorBidi"/>
                <w:b w:val="0"/>
                <w:bCs w:val="0"/>
                <w:caps w:val="0"/>
                <w:kern w:val="0"/>
                <w14:ligatures w14:val="none"/>
              </w:rPr>
              <w:t xml:space="preserve"> × </w:t>
            </w:r>
            <w:r w:rsidR="00D872D9" w:rsidRPr="001C3C1D">
              <w:rPr>
                <w:rFonts w:asciiTheme="majorBidi" w:eastAsia="Times New Roman" w:hAnsiTheme="majorBidi" w:cstheme="majorBidi"/>
                <w:b w:val="0"/>
                <w:bCs w:val="0"/>
                <w:caps w:val="0"/>
                <w:kern w:val="0"/>
                <w14:ligatures w14:val="none"/>
              </w:rPr>
              <w:t>RM</w:t>
            </w:r>
          </w:p>
        </w:tc>
        <w:tc>
          <w:tcPr>
            <w:tcW w:w="7290" w:type="dxa"/>
            <w:hideMark/>
          </w:tcPr>
          <w:p w14:paraId="44D3730A" w14:textId="22C9F171" w:rsidR="00206EE4" w:rsidRPr="001C3C1D" w:rsidRDefault="00454BA1" w:rsidP="00206EE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All PO and RM Predictors</w:t>
            </w:r>
          </w:p>
        </w:tc>
      </w:tr>
      <w:tr w:rsidR="00206EE4" w:rsidRPr="00206EE4" w14:paraId="1109D5B6"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0CB726A" w14:textId="191B27F2" w:rsidR="00206EE4" w:rsidRPr="001C3C1D" w:rsidRDefault="00FC5856" w:rsidP="00206EE4">
            <w:pPr>
              <w:rPr>
                <w:rFonts w:asciiTheme="majorBidi" w:eastAsia="Times New Roman" w:hAnsiTheme="majorBidi" w:cstheme="majorBidi"/>
                <w:b w:val="0"/>
                <w:bCs w:val="0"/>
                <w:kern w:val="0"/>
                <w14:ligatures w14:val="none"/>
              </w:rPr>
            </w:pPr>
            <w:r w:rsidRPr="001C3C1D">
              <w:rPr>
                <w:rFonts w:asciiTheme="majorBidi" w:eastAsia="Times New Roman" w:hAnsiTheme="majorBidi" w:cstheme="majorBidi"/>
                <w:b w:val="0"/>
                <w:bCs w:val="0"/>
                <w:caps w:val="0"/>
                <w:kern w:val="0"/>
                <w14:ligatures w14:val="none"/>
              </w:rPr>
              <w:t>R</w:t>
            </w:r>
            <w:r w:rsidR="00091B1D" w:rsidRPr="001C3C1D">
              <w:rPr>
                <w:rFonts w:asciiTheme="majorBidi" w:eastAsia="Times New Roman" w:hAnsiTheme="majorBidi" w:cstheme="majorBidi"/>
                <w:b w:val="0"/>
                <w:bCs w:val="0"/>
                <w:caps w:val="0"/>
                <w:kern w:val="0"/>
                <w14:ligatures w14:val="none"/>
              </w:rPr>
              <w:t>M</w:t>
            </w:r>
            <w:r w:rsidRPr="001C3C1D">
              <w:rPr>
                <w:rFonts w:asciiTheme="majorBidi" w:eastAsia="Times New Roman" w:hAnsiTheme="majorBidi" w:cstheme="majorBidi"/>
                <w:b w:val="0"/>
                <w:bCs w:val="0"/>
                <w:caps w:val="0"/>
                <w:kern w:val="0"/>
                <w14:ligatures w14:val="none"/>
              </w:rPr>
              <w:t xml:space="preserve"> × </w:t>
            </w:r>
            <w:r w:rsidR="00D872D9" w:rsidRPr="001C3C1D">
              <w:rPr>
                <w:rFonts w:asciiTheme="majorBidi" w:eastAsia="Times New Roman" w:hAnsiTheme="majorBidi" w:cstheme="majorBidi"/>
                <w:b w:val="0"/>
                <w:bCs w:val="0"/>
                <w:caps w:val="0"/>
                <w:kern w:val="0"/>
                <w14:ligatures w14:val="none"/>
              </w:rPr>
              <w:t>HG</w:t>
            </w:r>
          </w:p>
        </w:tc>
        <w:tc>
          <w:tcPr>
            <w:tcW w:w="7290" w:type="dxa"/>
            <w:hideMark/>
          </w:tcPr>
          <w:p w14:paraId="17F0EEE7" w14:textId="4B66E4E2" w:rsidR="00206EE4" w:rsidRPr="001C3C1D" w:rsidRDefault="00454BA1" w:rsidP="00206EE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14:ligatures w14:val="none"/>
              </w:rPr>
            </w:pPr>
            <w:r w:rsidRPr="001C3C1D">
              <w:rPr>
                <w:rFonts w:asciiTheme="majorBidi" w:eastAsia="Times New Roman" w:hAnsiTheme="majorBidi" w:cstheme="majorBidi"/>
                <w:kern w:val="0"/>
                <w14:ligatures w14:val="none"/>
              </w:rPr>
              <w:t>All RM and HG Predictors</w:t>
            </w:r>
          </w:p>
        </w:tc>
      </w:tr>
      <w:tr w:rsidR="00206EE4" w:rsidRPr="00206EE4" w14:paraId="788C5D8D" w14:textId="77777777" w:rsidTr="00E16975">
        <w:tc>
          <w:tcPr>
            <w:cnfStyle w:val="001000000000" w:firstRow="0" w:lastRow="0" w:firstColumn="1" w:lastColumn="0" w:oddVBand="0" w:evenVBand="0" w:oddHBand="0" w:evenHBand="0" w:firstRowFirstColumn="0" w:firstRowLastColumn="0" w:lastRowFirstColumn="0" w:lastRowLastColumn="0"/>
            <w:tcW w:w="2070" w:type="dxa"/>
            <w:hideMark/>
          </w:tcPr>
          <w:p w14:paraId="4158522A" w14:textId="7799F086" w:rsidR="00206EE4" w:rsidRPr="00206EE4" w:rsidRDefault="00FC5856" w:rsidP="00206EE4">
            <w:pPr>
              <w:rPr>
                <w:rFonts w:ascii="Times New Roman" w:eastAsia="Times New Roman" w:hAnsi="Times New Roman" w:cs="Times New Roman"/>
                <w:b w:val="0"/>
                <w:bCs w:val="0"/>
                <w:kern w:val="0"/>
                <w:sz w:val="22"/>
                <w:szCs w:val="22"/>
                <w14:ligatures w14:val="none"/>
              </w:rPr>
            </w:pPr>
            <w:r w:rsidRPr="00206EE4">
              <w:rPr>
                <w:rFonts w:ascii="Times New Roman" w:eastAsia="Times New Roman" w:hAnsi="Times New Roman" w:cs="Times New Roman"/>
                <w:b w:val="0"/>
                <w:bCs w:val="0"/>
                <w:caps w:val="0"/>
                <w:kern w:val="0"/>
                <w:sz w:val="22"/>
                <w:szCs w:val="22"/>
                <w14:ligatures w14:val="none"/>
              </w:rPr>
              <w:t>R</w:t>
            </w:r>
            <w:r w:rsidR="00091B1D">
              <w:rPr>
                <w:rFonts w:ascii="Times New Roman" w:eastAsia="Times New Roman" w:hAnsi="Times New Roman" w:cs="Times New Roman"/>
                <w:b w:val="0"/>
                <w:bCs w:val="0"/>
                <w:caps w:val="0"/>
                <w:kern w:val="0"/>
                <w:sz w:val="22"/>
                <w:szCs w:val="22"/>
                <w14:ligatures w14:val="none"/>
              </w:rPr>
              <w:t>M</w:t>
            </w:r>
            <w:r w:rsidRPr="00206EE4">
              <w:rPr>
                <w:rFonts w:ascii="Times New Roman" w:eastAsia="Times New Roman" w:hAnsi="Times New Roman" w:cs="Times New Roman"/>
                <w:b w:val="0"/>
                <w:bCs w:val="0"/>
                <w:caps w:val="0"/>
                <w:kern w:val="0"/>
                <w:sz w:val="22"/>
                <w:szCs w:val="22"/>
                <w14:ligatures w14:val="none"/>
              </w:rPr>
              <w:t xml:space="preserve"> × </w:t>
            </w:r>
            <w:r w:rsidR="00D872D9">
              <w:rPr>
                <w:rFonts w:ascii="Times New Roman" w:eastAsia="Times New Roman" w:hAnsi="Times New Roman" w:cs="Times New Roman"/>
                <w:b w:val="0"/>
                <w:bCs w:val="0"/>
                <w:caps w:val="0"/>
                <w:kern w:val="0"/>
                <w:sz w:val="22"/>
                <w:szCs w:val="22"/>
                <w14:ligatures w14:val="none"/>
              </w:rPr>
              <w:t>RG</w:t>
            </w:r>
          </w:p>
        </w:tc>
        <w:tc>
          <w:tcPr>
            <w:tcW w:w="7290" w:type="dxa"/>
            <w:hideMark/>
          </w:tcPr>
          <w:p w14:paraId="7454E970" w14:textId="2759F307" w:rsidR="00206EE4" w:rsidRPr="00206EE4" w:rsidRDefault="00454BA1" w:rsidP="00206E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All RM and RG Predictors</w:t>
            </w:r>
          </w:p>
        </w:tc>
      </w:tr>
      <w:tr w:rsidR="002B7963" w:rsidRPr="00206EE4" w14:paraId="159D6AE1" w14:textId="77777777" w:rsidTr="00E16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A0A2199" w14:textId="24E8AC1F" w:rsidR="002B7963" w:rsidRPr="009B734A" w:rsidRDefault="009B734A" w:rsidP="00206EE4">
            <w:pPr>
              <w:rPr>
                <w:rFonts w:ascii="Times New Roman" w:eastAsia="Times New Roman" w:hAnsi="Times New Roman" w:cs="Times New Roman"/>
                <w:b w:val="0"/>
                <w:bCs w:val="0"/>
                <w:kern w:val="0"/>
                <w:sz w:val="22"/>
                <w:szCs w:val="22"/>
                <w14:ligatures w14:val="none"/>
              </w:rPr>
            </w:pPr>
            <w:r w:rsidRPr="009B734A">
              <w:rPr>
                <w:rFonts w:ascii="Times New Roman" w:eastAsia="Times New Roman" w:hAnsi="Times New Roman" w:cs="Times New Roman"/>
                <w:b w:val="0"/>
                <w:bCs w:val="0"/>
                <w:caps w:val="0"/>
                <w:kern w:val="0"/>
                <w:sz w:val="22"/>
                <w:szCs w:val="22"/>
                <w14:ligatures w14:val="none"/>
              </w:rPr>
              <w:t>Controls</w:t>
            </w:r>
          </w:p>
        </w:tc>
        <w:tc>
          <w:tcPr>
            <w:tcW w:w="7290" w:type="dxa"/>
          </w:tcPr>
          <w:p w14:paraId="51B7DCC6" w14:textId="69EEAB4E" w:rsidR="002B7963" w:rsidRPr="009B734A" w:rsidRDefault="009B734A" w:rsidP="00206E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9B734A">
              <w:rPr>
                <w:rFonts w:asciiTheme="majorBidi" w:eastAsia="Times New Roman" w:hAnsiTheme="majorBidi" w:cstheme="majorBidi"/>
                <w:kern w:val="0"/>
                <w14:ligatures w14:val="none"/>
              </w:rPr>
              <w:t xml:space="preserve">Population (log), </w:t>
            </w:r>
            <w:r w:rsidR="00E433C3" w:rsidRPr="001C3C1D">
              <w:rPr>
                <w:rFonts w:asciiTheme="majorBidi" w:eastAsia="Times New Roman" w:hAnsiTheme="majorBidi" w:cstheme="majorBidi"/>
                <w:kern w:val="0"/>
                <w14:ligatures w14:val="none"/>
              </w:rPr>
              <w:t xml:space="preserve">GDP </w:t>
            </w:r>
            <w:r w:rsidR="00E433C3">
              <w:rPr>
                <w:rFonts w:asciiTheme="majorBidi" w:eastAsia="Times New Roman" w:hAnsiTheme="majorBidi" w:cstheme="majorBidi"/>
                <w:kern w:val="0"/>
                <w14:ligatures w14:val="none"/>
              </w:rPr>
              <w:t>per capita</w:t>
            </w:r>
            <w:r w:rsidR="00E433C3" w:rsidRPr="001C3C1D">
              <w:rPr>
                <w:rFonts w:asciiTheme="majorBidi" w:eastAsia="Times New Roman" w:hAnsiTheme="majorBidi" w:cstheme="majorBidi"/>
                <w:kern w:val="0"/>
                <w14:ligatures w14:val="none"/>
              </w:rPr>
              <w:t xml:space="preserve"> </w:t>
            </w:r>
            <w:r w:rsidRPr="009B734A">
              <w:rPr>
                <w:rFonts w:asciiTheme="majorBidi" w:eastAsia="Times New Roman" w:hAnsiTheme="majorBidi" w:cstheme="majorBidi"/>
                <w:kern w:val="0"/>
                <w14:ligatures w14:val="none"/>
              </w:rPr>
              <w:t xml:space="preserve">(log) </w:t>
            </w:r>
            <w:r w:rsidRPr="009B734A">
              <w:rPr>
                <w:rFonts w:ascii="Times New Roman" w:eastAsia="Times New Roman" w:hAnsi="Times New Roman" w:cs="Times New Roman"/>
                <w:kern w:val="0"/>
                <w14:ligatures w14:val="none"/>
              </w:rPr>
              <w:t>both are included in all models</w:t>
            </w:r>
          </w:p>
        </w:tc>
      </w:tr>
    </w:tbl>
    <w:p w14:paraId="7CEAC909" w14:textId="77777777" w:rsidR="0065463F" w:rsidRDefault="0065463F" w:rsidP="0058556D">
      <w:pPr>
        <w:spacing w:after="0" w:line="240" w:lineRule="auto"/>
        <w:rPr>
          <w:rFonts w:ascii="Times New Roman" w:eastAsia="Times New Roman" w:hAnsi="Times New Roman" w:cs="Times New Roman"/>
          <w:b/>
          <w:bCs/>
          <w:color w:val="000000"/>
          <w:kern w:val="0"/>
          <w14:ligatures w14:val="none"/>
        </w:rPr>
      </w:pPr>
    </w:p>
    <w:p w14:paraId="7543EFDF" w14:textId="77777777" w:rsidR="00CE6D1A" w:rsidRDefault="00CE6D1A" w:rsidP="0058556D">
      <w:pPr>
        <w:spacing w:after="0" w:line="240" w:lineRule="auto"/>
        <w:rPr>
          <w:rFonts w:ascii="Times New Roman" w:eastAsia="Times New Roman" w:hAnsi="Times New Roman" w:cs="Times New Roman"/>
          <w:b/>
          <w:bCs/>
          <w:color w:val="000000"/>
          <w:kern w:val="0"/>
          <w14:ligatures w14:val="none"/>
        </w:rPr>
      </w:pPr>
    </w:p>
    <w:p w14:paraId="6AFF25BE" w14:textId="77777777" w:rsidR="00CE6D1A" w:rsidRDefault="00CE6D1A" w:rsidP="0058556D">
      <w:pPr>
        <w:spacing w:after="0" w:line="240" w:lineRule="auto"/>
        <w:rPr>
          <w:rFonts w:ascii="Times New Roman" w:eastAsia="Times New Roman" w:hAnsi="Times New Roman" w:cs="Times New Roman"/>
          <w:b/>
          <w:bCs/>
          <w:color w:val="000000"/>
          <w:kern w:val="0"/>
          <w14:ligatures w14:val="none"/>
        </w:rPr>
      </w:pPr>
    </w:p>
    <w:p w14:paraId="7A11CE96" w14:textId="4A56476E" w:rsidR="00D26981" w:rsidRPr="0058556D" w:rsidRDefault="00344A58" w:rsidP="0058556D">
      <w:pPr>
        <w:spacing w:after="0"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b/>
          <w:bCs/>
          <w:color w:val="000000"/>
          <w:kern w:val="0"/>
          <w14:ligatures w14:val="none"/>
        </w:rPr>
        <w:t>Results</w:t>
      </w:r>
      <w:r w:rsidR="0058556D">
        <w:rPr>
          <w:rFonts w:ascii="Times New Roman" w:eastAsia="Times New Roman" w:hAnsi="Times New Roman" w:cs="Times New Roman"/>
          <w:b/>
          <w:bCs/>
          <w:color w:val="000000"/>
          <w:kern w:val="0"/>
          <w14:ligatures w14:val="none"/>
        </w:rPr>
        <w:t xml:space="preserve"> and Discussions</w:t>
      </w:r>
    </w:p>
    <w:p w14:paraId="75D9FE09" w14:textId="1EE29BE8" w:rsidR="007E3DA7" w:rsidRPr="00FB15AC" w:rsidRDefault="00FB15AC" w:rsidP="007E3DA7">
      <w:pPr>
        <w:spacing w:before="100" w:beforeAutospacing="1" w:after="100" w:afterAutospacing="1" w:line="240" w:lineRule="auto"/>
        <w:rPr>
          <w:rFonts w:asciiTheme="majorBidi" w:eastAsia="Times New Roman" w:hAnsiTheme="majorBidi" w:cstheme="majorBidi"/>
          <w:kern w:val="0"/>
          <w14:ligatures w14:val="none"/>
        </w:rPr>
      </w:pPr>
      <w:r w:rsidRPr="00FB15AC">
        <w:rPr>
          <w:rFonts w:asciiTheme="majorBidi" w:eastAsia="Times New Roman" w:hAnsiTheme="majorBidi" w:cstheme="majorBidi"/>
          <w:kern w:val="0"/>
          <w14:ligatures w14:val="none"/>
        </w:rPr>
        <w:t xml:space="preserve">Figure 1.1 and Figure 1.2 </w:t>
      </w:r>
      <w:r w:rsidR="0096243E">
        <w:rPr>
          <w:rFonts w:asciiTheme="majorBidi" w:eastAsia="Times New Roman" w:hAnsiTheme="majorBidi" w:cstheme="majorBidi"/>
          <w:kern w:val="0"/>
          <w14:ligatures w14:val="none"/>
        </w:rPr>
        <w:t>shows</w:t>
      </w:r>
      <w:r w:rsidRPr="00FB15AC">
        <w:rPr>
          <w:rFonts w:asciiTheme="majorBidi" w:eastAsia="Times New Roman" w:hAnsiTheme="majorBidi" w:cstheme="majorBidi"/>
          <w:kern w:val="0"/>
          <w14:ligatures w14:val="none"/>
        </w:rPr>
        <w:t xml:space="preserve"> the out-of-sample predictive performance of each theoretical model using the Area Under the Curve (AUC) metric, for both conflict onset and conflict escalation. Panel A shows results from logistic regression models, </w:t>
      </w:r>
      <w:r w:rsidR="00D4181D">
        <w:rPr>
          <w:rFonts w:asciiTheme="majorBidi" w:eastAsia="Times New Roman" w:hAnsiTheme="majorBidi" w:cstheme="majorBidi"/>
          <w:kern w:val="0"/>
          <w14:ligatures w14:val="none"/>
        </w:rPr>
        <w:t>and</w:t>
      </w:r>
      <w:r w:rsidR="00D4181D" w:rsidRPr="00FB15AC">
        <w:rPr>
          <w:rFonts w:asciiTheme="majorBidi" w:eastAsia="Times New Roman" w:hAnsiTheme="majorBidi" w:cstheme="majorBidi"/>
          <w:kern w:val="0"/>
          <w14:ligatures w14:val="none"/>
        </w:rPr>
        <w:t xml:space="preserve"> </w:t>
      </w:r>
      <w:r w:rsidRPr="00FB15AC">
        <w:rPr>
          <w:rFonts w:asciiTheme="majorBidi" w:eastAsia="Times New Roman" w:hAnsiTheme="majorBidi" w:cstheme="majorBidi"/>
          <w:kern w:val="0"/>
          <w14:ligatures w14:val="none"/>
        </w:rPr>
        <w:t>Panel B presents results from Random Forest (RF) classifiers.</w:t>
      </w:r>
      <w:r w:rsidR="005927A9" w:rsidRPr="00070BBE">
        <w:rPr>
          <w:rFonts w:asciiTheme="majorBidi" w:eastAsia="Times New Roman" w:hAnsiTheme="majorBidi" w:cstheme="majorBidi"/>
          <w:b/>
          <w:bCs/>
          <w:kern w:val="0"/>
          <w14:ligatures w14:val="none"/>
        </w:rPr>
        <w:t xml:space="preserve"> </w:t>
      </w:r>
      <w:r w:rsidR="005927A9" w:rsidRPr="00FB15AC">
        <w:rPr>
          <w:rFonts w:asciiTheme="majorBidi" w:eastAsia="Times New Roman" w:hAnsiTheme="majorBidi" w:cstheme="majorBidi"/>
          <w:kern w:val="0"/>
          <w14:ligatures w14:val="none"/>
        </w:rPr>
        <w:t>Table 2 summarizes AUC scores for all models across both stages</w:t>
      </w:r>
      <w:r w:rsidR="005927A9" w:rsidRPr="00070BBE">
        <w:rPr>
          <w:rFonts w:asciiTheme="majorBidi" w:eastAsia="Times New Roman" w:hAnsiTheme="majorBidi" w:cstheme="majorBidi"/>
          <w:kern w:val="0"/>
          <w14:ligatures w14:val="none"/>
        </w:rPr>
        <w:t>.</w:t>
      </w:r>
      <w:r w:rsidR="0096243E">
        <w:rPr>
          <w:rFonts w:asciiTheme="majorBidi" w:eastAsia="Times New Roman" w:hAnsiTheme="majorBidi" w:cstheme="majorBidi"/>
          <w:kern w:val="0"/>
          <w14:ligatures w14:val="none"/>
        </w:rPr>
        <w:t xml:space="preserve"> To </w:t>
      </w:r>
      <w:r w:rsidR="005D3E61">
        <w:rPr>
          <w:rFonts w:asciiTheme="majorBidi" w:eastAsia="Times New Roman" w:hAnsiTheme="majorBidi" w:cstheme="majorBidi"/>
          <w:kern w:val="0"/>
          <w14:ligatures w14:val="none"/>
        </w:rPr>
        <w:t>evaluate</w:t>
      </w:r>
      <w:r w:rsidR="0096243E">
        <w:rPr>
          <w:rFonts w:asciiTheme="majorBidi" w:eastAsia="Times New Roman" w:hAnsiTheme="majorBidi" w:cstheme="majorBidi"/>
          <w:kern w:val="0"/>
          <w14:ligatures w14:val="none"/>
        </w:rPr>
        <w:t xml:space="preserve"> predictive </w:t>
      </w:r>
      <w:r w:rsidR="005D3E61">
        <w:rPr>
          <w:rFonts w:asciiTheme="majorBidi" w:eastAsia="Times New Roman" w:hAnsiTheme="majorBidi" w:cstheme="majorBidi"/>
          <w:kern w:val="0"/>
          <w14:ligatures w14:val="none"/>
        </w:rPr>
        <w:t>performance</w:t>
      </w:r>
      <w:r w:rsidR="0096243E">
        <w:rPr>
          <w:rFonts w:asciiTheme="majorBidi" w:eastAsia="Times New Roman" w:hAnsiTheme="majorBidi" w:cstheme="majorBidi"/>
          <w:kern w:val="0"/>
          <w14:ligatures w14:val="none"/>
        </w:rPr>
        <w:t xml:space="preserve">, we rely on AUC </w:t>
      </w:r>
      <w:r w:rsidR="005D3E61">
        <w:rPr>
          <w:rFonts w:asciiTheme="majorBidi" w:eastAsia="Times New Roman" w:hAnsiTheme="majorBidi" w:cstheme="majorBidi"/>
          <w:kern w:val="0"/>
          <w14:ligatures w14:val="none"/>
        </w:rPr>
        <w:t xml:space="preserve">scores and then use </w:t>
      </w:r>
      <w:r w:rsidR="005D3E61" w:rsidRPr="00FB15AC">
        <w:rPr>
          <w:rFonts w:asciiTheme="majorBidi" w:eastAsia="Times New Roman" w:hAnsiTheme="majorBidi" w:cstheme="majorBidi"/>
          <w:kern w:val="0"/>
          <w14:ligatures w14:val="none"/>
        </w:rPr>
        <w:t>DeLong test</w:t>
      </w:r>
      <w:r w:rsidR="005D3E61" w:rsidRPr="00070BBE">
        <w:rPr>
          <w:rStyle w:val="FootnoteReference"/>
          <w:rFonts w:asciiTheme="majorBidi" w:eastAsia="Times New Roman" w:hAnsiTheme="majorBidi" w:cstheme="majorBidi"/>
          <w:b/>
          <w:bCs/>
          <w:kern w:val="0"/>
          <w14:ligatures w14:val="none"/>
        </w:rPr>
        <w:footnoteReference w:id="6"/>
      </w:r>
      <w:r w:rsidR="007E3DA7" w:rsidRPr="007E3DA7">
        <w:rPr>
          <w:rFonts w:asciiTheme="majorBidi" w:eastAsia="Times New Roman" w:hAnsiTheme="majorBidi" w:cstheme="majorBidi"/>
          <w:kern w:val="0"/>
          <w14:ligatures w14:val="none"/>
        </w:rPr>
        <w:t xml:space="preserve"> </w:t>
      </w:r>
      <w:r w:rsidR="007E3DA7" w:rsidRPr="00FB15AC">
        <w:rPr>
          <w:rFonts w:asciiTheme="majorBidi" w:eastAsia="Times New Roman" w:hAnsiTheme="majorBidi" w:cstheme="majorBidi"/>
          <w:kern w:val="0"/>
          <w14:ligatures w14:val="none"/>
        </w:rPr>
        <w:t>—</w:t>
      </w:r>
      <w:r w:rsidR="007E3DA7">
        <w:rPr>
          <w:rFonts w:asciiTheme="majorBidi" w:eastAsia="Times New Roman" w:hAnsiTheme="majorBidi" w:cstheme="majorBidi"/>
          <w:kern w:val="0"/>
          <w14:ligatures w14:val="none"/>
        </w:rPr>
        <w:t xml:space="preserve"> </w:t>
      </w:r>
      <w:r w:rsidR="007E3DA7" w:rsidRPr="00FB15AC">
        <w:rPr>
          <w:rFonts w:asciiTheme="majorBidi" w:eastAsia="Times New Roman" w:hAnsiTheme="majorBidi" w:cstheme="majorBidi"/>
          <w:kern w:val="0"/>
          <w14:ligatures w14:val="none"/>
        </w:rPr>
        <w:t>a nonparametric method for comparing</w:t>
      </w:r>
      <w:r w:rsidR="00A11414">
        <w:rPr>
          <w:rFonts w:asciiTheme="majorBidi" w:eastAsia="Times New Roman" w:hAnsiTheme="majorBidi" w:cstheme="majorBidi"/>
          <w:kern w:val="0"/>
          <w14:ligatures w14:val="none"/>
        </w:rPr>
        <w:t xml:space="preserve"> statistical significance of</w:t>
      </w:r>
      <w:r w:rsidR="007E3DA7" w:rsidRPr="00FB15AC">
        <w:rPr>
          <w:rFonts w:asciiTheme="majorBidi" w:eastAsia="Times New Roman" w:hAnsiTheme="majorBidi" w:cstheme="majorBidi"/>
          <w:kern w:val="0"/>
          <w14:ligatures w14:val="none"/>
        </w:rPr>
        <w:t xml:space="preserve"> ROC curves </w:t>
      </w:r>
      <w:r w:rsidR="007E3DA7" w:rsidRPr="00070BBE">
        <w:rPr>
          <w:rFonts w:asciiTheme="majorBidi" w:eastAsia="Times New Roman" w:hAnsiTheme="majorBidi" w:cstheme="majorBidi"/>
          <w:kern w:val="0"/>
          <w14:ligatures w14:val="none"/>
        </w:rPr>
        <w:t>(</w:t>
      </w:r>
      <w:r w:rsidR="007E3DA7" w:rsidRPr="00070BBE">
        <w:rPr>
          <w:rFonts w:asciiTheme="majorBidi" w:hAnsiTheme="majorBidi" w:cstheme="majorBidi"/>
          <w:color w:val="222222"/>
          <w:shd w:val="clear" w:color="auto" w:fill="FFFFFF"/>
        </w:rPr>
        <w:t>DeLong et all, 1988)</w:t>
      </w:r>
      <w:r w:rsidR="00A11414">
        <w:rPr>
          <w:rFonts w:asciiTheme="majorBidi" w:hAnsiTheme="majorBidi" w:cstheme="majorBidi"/>
          <w:color w:val="222222"/>
          <w:shd w:val="clear" w:color="auto" w:fill="FFFFFF"/>
        </w:rPr>
        <w:t xml:space="preserve"> within stages</w:t>
      </w:r>
      <w:r w:rsidR="007E3DA7">
        <w:rPr>
          <w:rFonts w:asciiTheme="majorBidi" w:hAnsiTheme="majorBidi" w:cstheme="majorBidi"/>
          <w:color w:val="222222"/>
          <w:shd w:val="clear" w:color="auto" w:fill="FFFFFF"/>
        </w:rPr>
        <w:t>—and report them in our discussion of the findings below</w:t>
      </w:r>
      <w:r w:rsidR="007E3DA7" w:rsidRPr="00FB15AC">
        <w:rPr>
          <w:rFonts w:asciiTheme="majorBidi" w:eastAsia="Times New Roman" w:hAnsiTheme="majorBidi" w:cstheme="majorBidi"/>
          <w:kern w:val="0"/>
          <w14:ligatures w14:val="none"/>
        </w:rPr>
        <w:t>.</w:t>
      </w:r>
      <w:r w:rsidR="007E3DA7" w:rsidRPr="007E3DA7">
        <w:rPr>
          <w:rFonts w:asciiTheme="majorBidi" w:eastAsia="Times New Roman" w:hAnsiTheme="majorBidi" w:cstheme="majorBidi"/>
          <w:kern w:val="0"/>
          <w14:ligatures w14:val="none"/>
        </w:rPr>
        <w:t xml:space="preserve"> </w:t>
      </w:r>
      <w:r w:rsidR="00800045">
        <w:rPr>
          <w:rFonts w:asciiTheme="majorBidi" w:eastAsia="Times New Roman" w:hAnsiTheme="majorBidi" w:cstheme="majorBidi"/>
          <w:kern w:val="0"/>
          <w14:ligatures w14:val="none"/>
        </w:rPr>
        <w:t xml:space="preserve">Delong test </w:t>
      </w:r>
      <w:r w:rsidR="007E3DA7" w:rsidRPr="00FB15AC">
        <w:rPr>
          <w:rFonts w:asciiTheme="majorBidi" w:eastAsia="Times New Roman" w:hAnsiTheme="majorBidi" w:cstheme="majorBidi"/>
          <w:kern w:val="0"/>
          <w14:ligatures w14:val="none"/>
        </w:rPr>
        <w:t>assess</w:t>
      </w:r>
      <w:r w:rsidR="00800045">
        <w:rPr>
          <w:rFonts w:asciiTheme="majorBidi" w:eastAsia="Times New Roman" w:hAnsiTheme="majorBidi" w:cstheme="majorBidi"/>
          <w:kern w:val="0"/>
          <w14:ligatures w14:val="none"/>
        </w:rPr>
        <w:t>es</w:t>
      </w:r>
      <w:r w:rsidR="007E3DA7" w:rsidRPr="00FB15AC">
        <w:rPr>
          <w:rFonts w:asciiTheme="majorBidi" w:eastAsia="Times New Roman" w:hAnsiTheme="majorBidi" w:cstheme="majorBidi"/>
          <w:kern w:val="0"/>
          <w14:ligatures w14:val="none"/>
        </w:rPr>
        <w:t xml:space="preserve"> whether the observed differences in AUC</w:t>
      </w:r>
      <w:r w:rsidR="00800045">
        <w:rPr>
          <w:rFonts w:asciiTheme="majorBidi" w:eastAsia="Times New Roman" w:hAnsiTheme="majorBidi" w:cstheme="majorBidi"/>
          <w:kern w:val="0"/>
          <w14:ligatures w14:val="none"/>
        </w:rPr>
        <w:t xml:space="preserve"> scores</w:t>
      </w:r>
      <w:r w:rsidR="00A11414">
        <w:rPr>
          <w:rFonts w:asciiTheme="majorBidi" w:eastAsia="Times New Roman" w:hAnsiTheme="majorBidi" w:cstheme="majorBidi"/>
          <w:kern w:val="0"/>
          <w14:ligatures w14:val="none"/>
        </w:rPr>
        <w:t xml:space="preserve"> of different models</w:t>
      </w:r>
      <w:r w:rsidR="007E3DA7" w:rsidRPr="00FB15AC">
        <w:rPr>
          <w:rFonts w:asciiTheme="majorBidi" w:eastAsia="Times New Roman" w:hAnsiTheme="majorBidi" w:cstheme="majorBidi"/>
          <w:kern w:val="0"/>
          <w14:ligatures w14:val="none"/>
        </w:rPr>
        <w:t xml:space="preserve"> </w:t>
      </w:r>
      <w:r w:rsidR="00A11414">
        <w:rPr>
          <w:rFonts w:asciiTheme="majorBidi" w:eastAsia="Times New Roman" w:hAnsiTheme="majorBidi" w:cstheme="majorBidi"/>
          <w:kern w:val="0"/>
          <w14:ligatures w14:val="none"/>
        </w:rPr>
        <w:t>are</w:t>
      </w:r>
      <w:r w:rsidR="007E3DA7" w:rsidRPr="00FB15AC">
        <w:rPr>
          <w:rFonts w:asciiTheme="majorBidi" w:eastAsia="Times New Roman" w:hAnsiTheme="majorBidi" w:cstheme="majorBidi"/>
          <w:kern w:val="0"/>
          <w14:ligatures w14:val="none"/>
        </w:rPr>
        <w:t xml:space="preserve"> statistically significant</w:t>
      </w:r>
      <w:r w:rsidR="00800045">
        <w:rPr>
          <w:rFonts w:asciiTheme="majorBidi" w:eastAsia="Times New Roman" w:hAnsiTheme="majorBidi" w:cstheme="majorBidi"/>
          <w:kern w:val="0"/>
          <w14:ligatures w14:val="none"/>
        </w:rPr>
        <w:t xml:space="preserve">. </w:t>
      </w:r>
      <w:r w:rsidR="00387C4A">
        <w:rPr>
          <w:rFonts w:asciiTheme="majorBidi" w:eastAsia="Times New Roman" w:hAnsiTheme="majorBidi" w:cstheme="majorBidi"/>
          <w:kern w:val="0"/>
          <w14:ligatures w14:val="none"/>
        </w:rPr>
        <w:t>Overall, random forest models</w:t>
      </w:r>
      <w:r w:rsidR="00387C4A" w:rsidRPr="00FB15AC">
        <w:rPr>
          <w:rFonts w:asciiTheme="majorBidi" w:eastAsia="Times New Roman" w:hAnsiTheme="majorBidi" w:cstheme="majorBidi"/>
          <w:kern w:val="0"/>
          <w14:ligatures w14:val="none"/>
        </w:rPr>
        <w:t xml:space="preserve"> consistently outperform logistic regression</w:t>
      </w:r>
      <w:r w:rsidR="00387C4A">
        <w:rPr>
          <w:rFonts w:asciiTheme="majorBidi" w:eastAsia="Times New Roman" w:hAnsiTheme="majorBidi" w:cstheme="majorBidi"/>
          <w:kern w:val="0"/>
          <w14:ligatures w14:val="none"/>
        </w:rPr>
        <w:t xml:space="preserve"> models</w:t>
      </w:r>
      <w:r w:rsidR="00387C4A" w:rsidRPr="00FB15AC">
        <w:rPr>
          <w:rFonts w:asciiTheme="majorBidi" w:eastAsia="Times New Roman" w:hAnsiTheme="majorBidi" w:cstheme="majorBidi"/>
          <w:kern w:val="0"/>
          <w14:ligatures w14:val="none"/>
        </w:rPr>
        <w:t xml:space="preserve"> in predicting conflict </w:t>
      </w:r>
      <w:r w:rsidR="00387C4A" w:rsidRPr="00070BBE">
        <w:rPr>
          <w:rFonts w:asciiTheme="majorBidi" w:eastAsia="Times New Roman" w:hAnsiTheme="majorBidi" w:cstheme="majorBidi"/>
          <w:kern w:val="0"/>
          <w14:ligatures w14:val="none"/>
        </w:rPr>
        <w:t>onset and</w:t>
      </w:r>
      <w:r w:rsidR="00387C4A" w:rsidRPr="00FB15AC">
        <w:rPr>
          <w:rFonts w:asciiTheme="majorBidi" w:eastAsia="Times New Roman" w:hAnsiTheme="majorBidi" w:cstheme="majorBidi"/>
          <w:kern w:val="0"/>
          <w14:ligatures w14:val="none"/>
        </w:rPr>
        <w:t xml:space="preserve"> conflict escalation as well.</w:t>
      </w:r>
      <w:r w:rsidR="0092044A">
        <w:rPr>
          <w:rFonts w:asciiTheme="majorBidi" w:eastAsia="Times New Roman" w:hAnsiTheme="majorBidi" w:cstheme="majorBidi"/>
          <w:kern w:val="0"/>
          <w14:ligatures w14:val="none"/>
        </w:rPr>
        <w:t xml:space="preserve"> The following sections provide more details </w:t>
      </w:r>
      <w:r w:rsidR="00D128E7">
        <w:rPr>
          <w:rFonts w:asciiTheme="majorBidi" w:eastAsia="Times New Roman" w:hAnsiTheme="majorBidi" w:cstheme="majorBidi"/>
          <w:kern w:val="0"/>
          <w14:ligatures w14:val="none"/>
        </w:rPr>
        <w:t>on predictive</w:t>
      </w:r>
      <w:r w:rsidR="0092044A">
        <w:rPr>
          <w:rFonts w:asciiTheme="majorBidi" w:eastAsia="Times New Roman" w:hAnsiTheme="majorBidi" w:cstheme="majorBidi"/>
          <w:kern w:val="0"/>
          <w14:ligatures w14:val="none"/>
        </w:rPr>
        <w:t xml:space="preserve"> performance of each model across both stages.</w:t>
      </w:r>
    </w:p>
    <w:p w14:paraId="02F25E6D" w14:textId="05ED16B6" w:rsidR="00344A58" w:rsidRPr="00D30718" w:rsidRDefault="00344A58" w:rsidP="00D3071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47474">
        <w:rPr>
          <w:rFonts w:ascii="Times New Roman" w:eastAsia="Times New Roman" w:hAnsi="Times New Roman" w:cs="Times New Roman"/>
          <w:b/>
          <w:bCs/>
          <w:color w:val="000000"/>
          <w:kern w:val="0"/>
          <w14:ligatures w14:val="none"/>
        </w:rPr>
        <w:t xml:space="preserve">Stage </w:t>
      </w:r>
      <w:r w:rsidR="0058556D">
        <w:rPr>
          <w:rFonts w:ascii="Times New Roman" w:eastAsia="Times New Roman" w:hAnsi="Times New Roman" w:cs="Times New Roman"/>
          <w:b/>
          <w:bCs/>
          <w:color w:val="000000"/>
          <w:kern w:val="0"/>
          <w14:ligatures w14:val="none"/>
        </w:rPr>
        <w:t>1</w:t>
      </w:r>
      <w:r w:rsidRPr="00A47474">
        <w:rPr>
          <w:rFonts w:ascii="Times New Roman" w:eastAsia="Times New Roman" w:hAnsi="Times New Roman" w:cs="Times New Roman"/>
          <w:b/>
          <w:bCs/>
          <w:color w:val="000000"/>
          <w:kern w:val="0"/>
          <w14:ligatures w14:val="none"/>
        </w:rPr>
        <w:t xml:space="preserve">: Predicting the </w:t>
      </w:r>
      <w:r w:rsidR="00771775">
        <w:rPr>
          <w:rFonts w:ascii="Times New Roman" w:eastAsia="Times New Roman" w:hAnsi="Times New Roman" w:cs="Times New Roman"/>
          <w:b/>
          <w:bCs/>
          <w:color w:val="000000"/>
          <w:kern w:val="0"/>
          <w14:ligatures w14:val="none"/>
        </w:rPr>
        <w:t>Nonviolent Onset</w:t>
      </w:r>
      <w:r w:rsidRPr="00A47474">
        <w:rPr>
          <w:rFonts w:ascii="Times New Roman" w:eastAsia="Times New Roman" w:hAnsi="Times New Roman" w:cs="Times New Roman"/>
          <w:b/>
          <w:bCs/>
          <w:color w:val="000000"/>
          <w:kern w:val="0"/>
          <w14:ligatures w14:val="none"/>
        </w:rPr>
        <w:t xml:space="preserve"> of Self-Determination Claims</w:t>
      </w:r>
    </w:p>
    <w:p w14:paraId="13265E3A" w14:textId="6A209509" w:rsidR="00A00BBC" w:rsidRDefault="00A00BBC" w:rsidP="00A00BBC">
      <w:pPr>
        <w:pStyle w:val="NormalWeb"/>
      </w:pPr>
      <w:r>
        <w:t xml:space="preserve">In predicting the nonviolent onset of separatist claims, our Complete Random Forest model significantly outperforms </w:t>
      </w:r>
      <w:r w:rsidR="00D128E7">
        <w:t xml:space="preserve">its </w:t>
      </w:r>
      <w:r>
        <w:t>logistic regression</w:t>
      </w:r>
      <w:r w:rsidR="00D128E7">
        <w:t xml:space="preserve"> counterpart</w:t>
      </w:r>
      <w:r>
        <w:t>, achieving an AUC of 0.84 compared to 0.68</w:t>
      </w:r>
      <w:r w:rsidR="00270EA0">
        <w:t xml:space="preserve"> of logistic regression</w:t>
      </w:r>
      <w:r>
        <w:t xml:space="preserve">. This complete model thus serves as our benchmark for evaluating more parsimonious </w:t>
      </w:r>
      <w:r w:rsidR="00270EA0">
        <w:t>models</w:t>
      </w:r>
      <w:r>
        <w:t xml:space="preserve">. As </w:t>
      </w:r>
      <w:r w:rsidR="00930384">
        <w:t>presented</w:t>
      </w:r>
      <w:r>
        <w:t xml:space="preserve"> in Table 2, Random Forest</w:t>
      </w:r>
      <w:r w:rsidR="00930384">
        <w:t xml:space="preserve"> models</w:t>
      </w:r>
      <w:r>
        <w:t xml:space="preserve"> consistently </w:t>
      </w:r>
      <w:proofErr w:type="gramStart"/>
      <w:r>
        <w:t>surpasses</w:t>
      </w:r>
      <w:proofErr w:type="gramEnd"/>
      <w:r>
        <w:t xml:space="preserve"> logistic regression</w:t>
      </w:r>
      <w:r w:rsidR="001B6150">
        <w:t xml:space="preserve"> ones</w:t>
      </w:r>
      <w:r>
        <w:t xml:space="preserve"> across individual and interaction models, highlighting its superior predictive capability.</w:t>
      </w:r>
    </w:p>
    <w:p w14:paraId="1CF19249" w14:textId="43CDFEAA" w:rsidR="00A00BBC" w:rsidRDefault="00A00BBC" w:rsidP="004A1713">
      <w:pPr>
        <w:pStyle w:val="NormalWeb"/>
      </w:pPr>
      <w:r>
        <w:t xml:space="preserve">Regarding theoretical frameworks, </w:t>
      </w:r>
      <w:r w:rsidR="00D128E7">
        <w:t xml:space="preserve">our </w:t>
      </w:r>
      <w:r>
        <w:t xml:space="preserve">individual models exhibit modest and comparable predictive performance, with Resource Mobilization slightly ahead (AUC = 0.81), followed by Political Opportunity (0.79), Recent Grievances (0.78), and Historical Grievances (0.75). However, DeLong tests reveal these differences are not statistically </w:t>
      </w:r>
      <w:r w:rsidR="004A1713">
        <w:t>significant. Interaction</w:t>
      </w:r>
      <w:r>
        <w:t xml:space="preserve"> models generally perform similarly to single models, except for the combination of Political Opportunity and Resource Mobilization, which achieves a notable AUC of 0.84</w:t>
      </w:r>
      <w:r w:rsidR="00A62FD5">
        <w:t xml:space="preserve"> </w:t>
      </w:r>
      <w:r w:rsidR="00027683">
        <w:t>(the highest among all models)</w:t>
      </w:r>
      <w:r>
        <w:t>. DeLong tests confirm this interaction model significantly outperforms both the standalone Political Opportunity and Grievances models.</w:t>
      </w:r>
      <w:r w:rsidR="00027683">
        <w:t xml:space="preserve"> This indicates that interaction of political opportunity and resources mobilization better predicts nonviolent mobilization than others.</w:t>
      </w:r>
    </w:p>
    <w:p w14:paraId="7CD773CD" w14:textId="579AB063" w:rsidR="005111F7" w:rsidRDefault="00A00BBC" w:rsidP="00B034DA">
      <w:pPr>
        <w:pStyle w:val="NormalWeb"/>
      </w:pPr>
      <w:r>
        <w:t>Two key insights emerge from our findings</w:t>
      </w:r>
      <w:r w:rsidR="004A1713">
        <w:t xml:space="preserve"> for onset stage</w:t>
      </w:r>
      <w:r>
        <w:t xml:space="preserve">. First, despite </w:t>
      </w:r>
      <w:r w:rsidR="00AE71D2">
        <w:t xml:space="preserve">distinctive assumptions and </w:t>
      </w:r>
      <w:r w:rsidR="00DE554C">
        <w:t>their explanatory power established in the existing literature</w:t>
      </w:r>
      <w:r>
        <w:t xml:space="preserve">, </w:t>
      </w:r>
      <w:r w:rsidR="00AE71D2">
        <w:t xml:space="preserve">our </w:t>
      </w:r>
      <w:r>
        <w:t>individual structural models yield remarkably similar predict</w:t>
      </w:r>
      <w:r w:rsidR="00DE554C">
        <w:t>ive power</w:t>
      </w:r>
      <w:r>
        <w:t xml:space="preserve"> for conflict onset</w:t>
      </w:r>
      <w:r w:rsidR="007527D0">
        <w:t>.</w:t>
      </w:r>
      <w:r>
        <w:t xml:space="preserve"> Second, </w:t>
      </w:r>
      <w:r w:rsidR="00AF2A5B">
        <w:t xml:space="preserve">not all </w:t>
      </w:r>
      <w:r>
        <w:t>interaction models do consistently</w:t>
      </w:r>
      <w:r w:rsidR="00AF2A5B">
        <w:t xml:space="preserve"> and substantially</w:t>
      </w:r>
      <w:r>
        <w:t xml:space="preserve"> outperform single-theory models, though the</w:t>
      </w:r>
      <w:r w:rsidR="00AF2A5B">
        <w:t xml:space="preserve"> combination of</w:t>
      </w:r>
      <w:r>
        <w:t xml:space="preserve"> Political Opportunity and Resource Mobilization proves a valuable exception.</w:t>
      </w:r>
    </w:p>
    <w:p w14:paraId="5745B03F" w14:textId="77777777" w:rsidR="00B034DA" w:rsidRPr="00B034DA" w:rsidRDefault="00B034DA" w:rsidP="00B034DA">
      <w:pPr>
        <w:pStyle w:val="NormalWeb"/>
      </w:pPr>
    </w:p>
    <w:p w14:paraId="54FD7ECA" w14:textId="2F08E978" w:rsidR="0056382E" w:rsidRPr="00C24E36" w:rsidRDefault="0056382E" w:rsidP="00C24E36">
      <w:pPr>
        <w:spacing w:after="0" w:line="240" w:lineRule="auto"/>
        <w:jc w:val="center"/>
        <w:outlineLvl w:val="1"/>
        <w:rPr>
          <w:rFonts w:ascii="Times New Roman" w:hAnsi="Times New Roman" w:cs="Times New Roman"/>
          <w:b/>
          <w:bCs/>
        </w:rPr>
      </w:pPr>
      <w:r w:rsidRPr="00C24E36">
        <w:rPr>
          <w:rFonts w:ascii="Times New Roman" w:hAnsi="Times New Roman" w:cs="Times New Roman"/>
          <w:b/>
          <w:bCs/>
        </w:rPr>
        <w:t>Figure 1.</w:t>
      </w:r>
      <w:r w:rsidR="007B655F">
        <w:rPr>
          <w:rFonts w:ascii="Times New Roman" w:hAnsi="Times New Roman" w:cs="Times New Roman"/>
          <w:b/>
          <w:bCs/>
        </w:rPr>
        <w:t>1</w:t>
      </w:r>
      <w:r w:rsidRPr="00C24E36">
        <w:rPr>
          <w:rFonts w:ascii="Times New Roman" w:hAnsi="Times New Roman" w:cs="Times New Roman"/>
          <w:b/>
          <w:bCs/>
        </w:rPr>
        <w:t xml:space="preserve">: </w:t>
      </w:r>
      <w:r w:rsidR="00F34A32" w:rsidRPr="00830E78">
        <w:rPr>
          <w:b/>
          <w:bCs/>
        </w:rPr>
        <w:t>Out-of-Sample Predictive Accuracy of Theoretical Models</w:t>
      </w:r>
      <w:r w:rsidR="00F34A32">
        <w:rPr>
          <w:b/>
          <w:bCs/>
        </w:rPr>
        <w:t>:</w:t>
      </w:r>
      <w:r w:rsidR="00F34A32" w:rsidRPr="00830E78">
        <w:rPr>
          <w:b/>
          <w:bCs/>
        </w:rPr>
        <w:t xml:space="preserve"> </w:t>
      </w:r>
      <w:r w:rsidRPr="00C24E36">
        <w:rPr>
          <w:rFonts w:ascii="Times New Roman" w:hAnsi="Times New Roman" w:cs="Times New Roman"/>
          <w:b/>
          <w:bCs/>
        </w:rPr>
        <w:t>Conflict Onset</w:t>
      </w:r>
    </w:p>
    <w:p w14:paraId="22B8B40F" w14:textId="77777777" w:rsidR="009E7C25" w:rsidRDefault="009E7C25">
      <w:pPr>
        <w:spacing w:after="0" w:line="240" w:lineRule="auto"/>
        <w:outlineLvl w:val="1"/>
        <w:rPr>
          <w:rFonts w:ascii="Times New Roman" w:hAnsi="Times New Roman" w:cs="Times New Roman"/>
          <w:b/>
          <w:bCs/>
        </w:rPr>
      </w:pPr>
    </w:p>
    <w:p w14:paraId="1F2FE975" w14:textId="790EBAE7" w:rsidR="00F103D0" w:rsidRDefault="00B174C9">
      <w:pPr>
        <w:spacing w:after="0" w:line="240" w:lineRule="auto"/>
        <w:outlineLvl w:val="1"/>
        <w:rPr>
          <w:rFonts w:ascii="Times New Roman" w:hAnsi="Times New Roman" w:cs="Times New Roman"/>
          <w:b/>
          <w:bCs/>
        </w:rPr>
      </w:pPr>
      <w:r w:rsidRPr="00B174C9">
        <w:rPr>
          <w:rFonts w:ascii="Times New Roman" w:hAnsi="Times New Roman" w:cs="Times New Roman"/>
          <w:b/>
          <w:bCs/>
          <w:noProof/>
        </w:rPr>
        <w:drawing>
          <wp:inline distT="0" distB="0" distL="0" distR="0" wp14:anchorId="452522B5" wp14:editId="24B45D53">
            <wp:extent cx="5943600" cy="3462020"/>
            <wp:effectExtent l="0" t="0" r="0" b="5080"/>
            <wp:docPr id="93256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61405" name=""/>
                    <pic:cNvPicPr/>
                  </pic:nvPicPr>
                  <pic:blipFill>
                    <a:blip r:embed="rId8"/>
                    <a:stretch>
                      <a:fillRect/>
                    </a:stretch>
                  </pic:blipFill>
                  <pic:spPr>
                    <a:xfrm>
                      <a:off x="0" y="0"/>
                      <a:ext cx="5943600" cy="3462020"/>
                    </a:xfrm>
                    <a:prstGeom prst="rect">
                      <a:avLst/>
                    </a:prstGeom>
                  </pic:spPr>
                </pic:pic>
              </a:graphicData>
            </a:graphic>
          </wp:inline>
        </w:drawing>
      </w:r>
    </w:p>
    <w:p w14:paraId="63DF0A28" w14:textId="77777777" w:rsidR="009E7C25" w:rsidRDefault="009E7C25">
      <w:pPr>
        <w:spacing w:after="0" w:line="240" w:lineRule="auto"/>
        <w:outlineLvl w:val="1"/>
        <w:rPr>
          <w:rFonts w:ascii="Times New Roman" w:hAnsi="Times New Roman" w:cs="Times New Roman"/>
          <w:b/>
          <w:bCs/>
        </w:rPr>
      </w:pPr>
    </w:p>
    <w:p w14:paraId="4797C41E" w14:textId="77777777" w:rsidR="00771775" w:rsidRDefault="00771775" w:rsidP="00830E78">
      <w:pPr>
        <w:pStyle w:val="p1"/>
        <w:spacing w:before="0" w:beforeAutospacing="0" w:after="0" w:afterAutospacing="0"/>
        <w:rPr>
          <w:b/>
          <w:bCs/>
        </w:rPr>
      </w:pPr>
    </w:p>
    <w:p w14:paraId="25857FBC" w14:textId="77777777" w:rsidR="0017277A" w:rsidRDefault="0017277A" w:rsidP="00830E78">
      <w:pPr>
        <w:pStyle w:val="p1"/>
        <w:spacing w:before="0" w:beforeAutospacing="0" w:after="0" w:afterAutospacing="0"/>
        <w:rPr>
          <w:b/>
          <w:bCs/>
        </w:rPr>
      </w:pPr>
    </w:p>
    <w:p w14:paraId="50A86C7B" w14:textId="77777777" w:rsidR="0017277A" w:rsidRDefault="0017277A" w:rsidP="00830E78">
      <w:pPr>
        <w:pStyle w:val="p1"/>
        <w:spacing w:before="0" w:beforeAutospacing="0" w:after="0" w:afterAutospacing="0"/>
        <w:rPr>
          <w:b/>
          <w:bCs/>
        </w:rPr>
      </w:pPr>
    </w:p>
    <w:p w14:paraId="58B6EAE7" w14:textId="77777777" w:rsidR="0017277A" w:rsidRDefault="0017277A" w:rsidP="00830E78">
      <w:pPr>
        <w:pStyle w:val="p1"/>
        <w:spacing w:before="0" w:beforeAutospacing="0" w:after="0" w:afterAutospacing="0"/>
        <w:rPr>
          <w:b/>
          <w:bCs/>
        </w:rPr>
      </w:pPr>
    </w:p>
    <w:p w14:paraId="2807067A" w14:textId="277D7351" w:rsidR="00771775" w:rsidRPr="00D30718" w:rsidRDefault="00771775" w:rsidP="00771775">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47474">
        <w:rPr>
          <w:rFonts w:ascii="Times New Roman" w:eastAsia="Times New Roman" w:hAnsi="Times New Roman" w:cs="Times New Roman"/>
          <w:b/>
          <w:bCs/>
          <w:color w:val="000000"/>
          <w:kern w:val="0"/>
          <w14:ligatures w14:val="none"/>
        </w:rPr>
        <w:t xml:space="preserve">Stage </w:t>
      </w:r>
      <w:r>
        <w:rPr>
          <w:rFonts w:ascii="Times New Roman" w:eastAsia="Times New Roman" w:hAnsi="Times New Roman" w:cs="Times New Roman"/>
          <w:b/>
          <w:bCs/>
          <w:color w:val="000000"/>
          <w:kern w:val="0"/>
          <w14:ligatures w14:val="none"/>
        </w:rPr>
        <w:t>2</w:t>
      </w:r>
      <w:r w:rsidRPr="00A47474">
        <w:rPr>
          <w:rFonts w:ascii="Times New Roman" w:eastAsia="Times New Roman" w:hAnsi="Times New Roman" w:cs="Times New Roman"/>
          <w:b/>
          <w:bCs/>
          <w:color w:val="000000"/>
          <w:kern w:val="0"/>
          <w14:ligatures w14:val="none"/>
        </w:rPr>
        <w:t xml:space="preserve">: Predicting the </w:t>
      </w:r>
      <w:r>
        <w:rPr>
          <w:rFonts w:ascii="Times New Roman" w:eastAsia="Times New Roman" w:hAnsi="Times New Roman" w:cs="Times New Roman"/>
          <w:b/>
          <w:bCs/>
          <w:color w:val="000000"/>
          <w:kern w:val="0"/>
          <w14:ligatures w14:val="none"/>
        </w:rPr>
        <w:t>Violent Escalation</w:t>
      </w:r>
      <w:r w:rsidRPr="00A47474">
        <w:rPr>
          <w:rFonts w:ascii="Times New Roman" w:eastAsia="Times New Roman" w:hAnsi="Times New Roman" w:cs="Times New Roman"/>
          <w:b/>
          <w:bCs/>
          <w:color w:val="000000"/>
          <w:kern w:val="0"/>
          <w14:ligatures w14:val="none"/>
        </w:rPr>
        <w:t xml:space="preserve"> of Self-Determination Claims</w:t>
      </w:r>
    </w:p>
    <w:p w14:paraId="14194539" w14:textId="5DCB226A" w:rsidR="0062228F" w:rsidRDefault="0062228F" w:rsidP="00EB1311">
      <w:pPr>
        <w:pStyle w:val="NormalWeb"/>
      </w:pPr>
      <w:r>
        <w:t>Consistently</w:t>
      </w:r>
      <w:r w:rsidR="00B034DA">
        <w:t xml:space="preserve"> and similar to Stage 1 models</w:t>
      </w:r>
      <w:r>
        <w:t>, Random Forest models exhibit superior predictive accuracy over their logistic regression counterparts in Stage 2</w:t>
      </w:r>
      <w:r w:rsidR="00B034DA">
        <w:t xml:space="preserve"> too</w:t>
      </w:r>
      <w:r>
        <w:t xml:space="preserve">, except for the Historical and Recent Grievances models. The Complete Model notably achieves an AUC of 0.79, significantly outperforming its logistic regression equivalent (AUC = 0.67). Individual and interaction models maintain performance patterns similar to those observed in Stage </w:t>
      </w:r>
      <w:r w:rsidR="00EB1311">
        <w:t>1. Delong</w:t>
      </w:r>
      <w:r>
        <w:t xml:space="preserve"> tests </w:t>
      </w:r>
      <w:r w:rsidR="00486192">
        <w:t xml:space="preserve">indicates that the </w:t>
      </w:r>
      <w:r>
        <w:t>differences in AUC scores</w:t>
      </w:r>
      <w:r w:rsidR="00486192">
        <w:t xml:space="preserve"> </w:t>
      </w:r>
      <w:r w:rsidR="00726A62">
        <w:t>are</w:t>
      </w:r>
      <w:r>
        <w:t xml:space="preserve"> </w:t>
      </w:r>
      <w:r w:rsidR="00486192">
        <w:t>only significant</w:t>
      </w:r>
      <w:r>
        <w:t xml:space="preserve"> between the Historical Grievances model and </w:t>
      </w:r>
      <w:r w:rsidR="00F15292">
        <w:t>the</w:t>
      </w:r>
      <w:r>
        <w:t xml:space="preserve"> interaction models</w:t>
      </w:r>
      <w:r w:rsidR="00726A62">
        <w:t>, meaning</w:t>
      </w:r>
      <w:r>
        <w:t xml:space="preserve"> </w:t>
      </w:r>
      <w:r w:rsidR="00726A62">
        <w:t>that</w:t>
      </w:r>
      <w:r>
        <w:t xml:space="preserve"> </w:t>
      </w:r>
      <w:r w:rsidR="00E00F0A">
        <w:t>interaction models</w:t>
      </w:r>
      <w:r>
        <w:t xml:space="preserve"> </w:t>
      </w:r>
      <w:r w:rsidR="00E00F0A">
        <w:t xml:space="preserve">performed better compared to </w:t>
      </w:r>
      <w:r>
        <w:t xml:space="preserve">Historical </w:t>
      </w:r>
      <w:r w:rsidR="00F15292">
        <w:t>Grievances.</w:t>
      </w:r>
      <w:r w:rsidR="007407F7">
        <w:t xml:space="preserve"> Largely,</w:t>
      </w:r>
      <w:r w:rsidR="00F15292">
        <w:t xml:space="preserve"> </w:t>
      </w:r>
      <w:r w:rsidR="007407F7">
        <w:t>a</w:t>
      </w:r>
      <w:r>
        <w:t xml:space="preserve"> striking observation is the consistency in predictive performance </w:t>
      </w:r>
      <w:r w:rsidR="00B6540A">
        <w:t xml:space="preserve">within and </w:t>
      </w:r>
      <w:r>
        <w:t xml:space="preserve">across both </w:t>
      </w:r>
      <w:r w:rsidR="00EB1311">
        <w:t>onset</w:t>
      </w:r>
      <w:r>
        <w:t xml:space="preserve"> and </w:t>
      </w:r>
      <w:r w:rsidR="00EB1311">
        <w:t>escalation</w:t>
      </w:r>
      <w:r>
        <w:t xml:space="preserve"> stages</w:t>
      </w:r>
      <w:r w:rsidR="00EB1311">
        <w:t>.</w:t>
      </w:r>
    </w:p>
    <w:p w14:paraId="28816AAF" w14:textId="1025873C" w:rsidR="0062228F" w:rsidRDefault="0062228F" w:rsidP="0062228F">
      <w:pPr>
        <w:pStyle w:val="NormalWeb"/>
      </w:pPr>
      <w:r>
        <w:t xml:space="preserve">Collectively, these Stage 2 findings underscore two important insights. Firstly, neither Historical nor Recent Grievances models surpass the predictive performance of alternative individual or interaction models, suggesting that grievance-based explanations, historical or recent, do not provide superior predictive </w:t>
      </w:r>
      <w:r w:rsidR="00CA5D77">
        <w:t>power</w:t>
      </w:r>
      <w:r>
        <w:t xml:space="preserve"> compared to Political Opportunity and Resource Mobilization models. Secondly, models exhibit stable predictive power across both conflict onset and escalation stages, reinforcing their utility in consistently anticipating both types of outcomes.</w:t>
      </w:r>
    </w:p>
    <w:p w14:paraId="643A01B4" w14:textId="4A3953AE" w:rsidR="00EE14ED" w:rsidRDefault="00EE14ED" w:rsidP="00EE14ED">
      <w:pPr>
        <w:pStyle w:val="p1"/>
        <w:spacing w:before="0" w:beforeAutospacing="0" w:after="0" w:afterAutospacing="0"/>
        <w:rPr>
          <w:b/>
          <w:bCs/>
        </w:rPr>
      </w:pPr>
    </w:p>
    <w:p w14:paraId="4295771E" w14:textId="72FE42A0" w:rsidR="00EE14ED" w:rsidRDefault="00EE14ED" w:rsidP="00EE14ED">
      <w:pPr>
        <w:pStyle w:val="p1"/>
        <w:spacing w:before="0" w:beforeAutospacing="0" w:after="0" w:afterAutospacing="0"/>
        <w:jc w:val="center"/>
        <w:rPr>
          <w:b/>
          <w:bCs/>
        </w:rPr>
      </w:pPr>
      <w:r w:rsidRPr="00C24E36">
        <w:rPr>
          <w:b/>
          <w:bCs/>
        </w:rPr>
        <w:t>Figure 1.</w:t>
      </w:r>
      <w:r>
        <w:rPr>
          <w:b/>
          <w:bCs/>
        </w:rPr>
        <w:t>2</w:t>
      </w:r>
      <w:r w:rsidRPr="00C24E36">
        <w:rPr>
          <w:b/>
          <w:bCs/>
        </w:rPr>
        <w:t xml:space="preserve">: </w:t>
      </w:r>
      <w:r w:rsidR="00BB69A0" w:rsidRPr="00830E78">
        <w:rPr>
          <w:b/>
          <w:bCs/>
        </w:rPr>
        <w:t xml:space="preserve">Out-of-Sample Predictive Accuracy of Theoretical </w:t>
      </w:r>
      <w:r w:rsidR="003F663F" w:rsidRPr="00830E78">
        <w:rPr>
          <w:b/>
          <w:bCs/>
        </w:rPr>
        <w:t>Models</w:t>
      </w:r>
      <w:r w:rsidR="003F663F" w:rsidRPr="00C24E36">
        <w:rPr>
          <w:b/>
          <w:bCs/>
        </w:rPr>
        <w:t>: Conflict</w:t>
      </w:r>
      <w:r w:rsidRPr="00C24E36">
        <w:rPr>
          <w:b/>
          <w:bCs/>
        </w:rPr>
        <w:t xml:space="preserve"> Escalation</w:t>
      </w:r>
    </w:p>
    <w:p w14:paraId="03DB63E2" w14:textId="713E2C41" w:rsidR="00771775" w:rsidRPr="00C24E36" w:rsidRDefault="00771775" w:rsidP="00D26981">
      <w:pPr>
        <w:pStyle w:val="p1"/>
        <w:spacing w:before="0" w:beforeAutospacing="0" w:after="0" w:afterAutospacing="0"/>
        <w:jc w:val="center"/>
        <w:rPr>
          <w:b/>
          <w:bCs/>
        </w:rPr>
      </w:pPr>
    </w:p>
    <w:p w14:paraId="27A427A0" w14:textId="2EE003E1" w:rsidR="009723E6" w:rsidRDefault="009723E6" w:rsidP="000F7999">
      <w:r w:rsidRPr="009723E6">
        <w:rPr>
          <w:noProof/>
        </w:rPr>
        <w:drawing>
          <wp:inline distT="0" distB="0" distL="0" distR="0" wp14:anchorId="555E55DE" wp14:editId="1A9B327E">
            <wp:extent cx="5943600" cy="2706370"/>
            <wp:effectExtent l="0" t="0" r="0" b="0"/>
            <wp:docPr id="135893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1834" name=""/>
                    <pic:cNvPicPr/>
                  </pic:nvPicPr>
                  <pic:blipFill>
                    <a:blip r:embed="rId9"/>
                    <a:stretch>
                      <a:fillRect/>
                    </a:stretch>
                  </pic:blipFill>
                  <pic:spPr>
                    <a:xfrm>
                      <a:off x="0" y="0"/>
                      <a:ext cx="5943600" cy="2706370"/>
                    </a:xfrm>
                    <a:prstGeom prst="rect">
                      <a:avLst/>
                    </a:prstGeom>
                  </pic:spPr>
                </pic:pic>
              </a:graphicData>
            </a:graphic>
          </wp:inline>
        </w:drawing>
      </w:r>
    </w:p>
    <w:p w14:paraId="5467AB62" w14:textId="32EB1153" w:rsidR="009723E6" w:rsidRDefault="009723E6"/>
    <w:p w14:paraId="46355188" w14:textId="77777777" w:rsidR="00CA5D77" w:rsidRDefault="00CA5D77"/>
    <w:p w14:paraId="50CDC7F9" w14:textId="77777777" w:rsidR="00CA5D77" w:rsidRDefault="00CA5D77"/>
    <w:p w14:paraId="441E00E3" w14:textId="77777777" w:rsidR="00CA5D77" w:rsidRDefault="00CA5D77"/>
    <w:p w14:paraId="107640ED" w14:textId="77777777" w:rsidR="00CA5D77" w:rsidRDefault="00CA5D77"/>
    <w:p w14:paraId="5D9A8845" w14:textId="3219787A" w:rsidR="0014003F" w:rsidRPr="008B2F73" w:rsidRDefault="001D349E" w:rsidP="008B2F73">
      <w:pPr>
        <w:jc w:val="center"/>
        <w:rPr>
          <w:b/>
          <w:bCs/>
          <w:sz w:val="28"/>
          <w:szCs w:val="28"/>
        </w:rPr>
      </w:pPr>
      <w:r w:rsidRPr="001D349E">
        <w:rPr>
          <w:b/>
          <w:bCs/>
          <w:sz w:val="28"/>
          <w:szCs w:val="28"/>
        </w:rPr>
        <w:t>Table 2. AUC</w:t>
      </w:r>
      <w:r w:rsidR="003F663F">
        <w:rPr>
          <w:b/>
          <w:bCs/>
          <w:sz w:val="28"/>
          <w:szCs w:val="28"/>
        </w:rPr>
        <w:t xml:space="preserve"> </w:t>
      </w:r>
      <w:r w:rsidR="00192881">
        <w:rPr>
          <w:b/>
          <w:bCs/>
          <w:sz w:val="28"/>
          <w:szCs w:val="28"/>
        </w:rPr>
        <w:t>Scores:</w:t>
      </w:r>
      <w:r w:rsidR="00192881" w:rsidRPr="001D349E">
        <w:rPr>
          <w:b/>
          <w:bCs/>
          <w:sz w:val="28"/>
          <w:szCs w:val="28"/>
        </w:rPr>
        <w:t xml:space="preserve"> Onset</w:t>
      </w:r>
      <w:r w:rsidRPr="001D349E">
        <w:rPr>
          <w:b/>
          <w:bCs/>
          <w:sz w:val="28"/>
          <w:szCs w:val="28"/>
        </w:rPr>
        <w:t xml:space="preserve"> and Escalation</w:t>
      </w:r>
    </w:p>
    <w:p w14:paraId="5A95BDAA" w14:textId="7B7D829F" w:rsidR="0014003F" w:rsidRDefault="00CA5D77"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sidRPr="000F7999">
        <w:rPr>
          <w:rFonts w:ascii="Times New Roman" w:eastAsia="Times New Roman" w:hAnsi="Times New Roman" w:cs="Times New Roman"/>
          <w:noProof/>
          <w:color w:val="000000"/>
          <w:kern w:val="0"/>
          <w14:ligatures w14:val="none"/>
        </w:rPr>
        <w:drawing>
          <wp:anchor distT="0" distB="0" distL="114300" distR="114300" simplePos="0" relativeHeight="251658240" behindDoc="0" locked="0" layoutInCell="1" allowOverlap="1" wp14:anchorId="50A1ECCF" wp14:editId="2EF81CC5">
            <wp:simplePos x="0" y="0"/>
            <wp:positionH relativeFrom="margin">
              <wp:posOffset>1246983</wp:posOffset>
            </wp:positionH>
            <wp:positionV relativeFrom="margin">
              <wp:posOffset>608017</wp:posOffset>
            </wp:positionV>
            <wp:extent cx="3322955" cy="2921635"/>
            <wp:effectExtent l="0" t="0" r="4445" b="0"/>
            <wp:wrapSquare wrapText="bothSides"/>
            <wp:docPr id="24385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53282" name=""/>
                    <pic:cNvPicPr/>
                  </pic:nvPicPr>
                  <pic:blipFill rotWithShape="1">
                    <a:blip r:embed="rId10">
                      <a:extLst>
                        <a:ext uri="{28A0092B-C50C-407E-A947-70E740481C1C}">
                          <a14:useLocalDpi xmlns:a14="http://schemas.microsoft.com/office/drawing/2010/main" val="0"/>
                        </a:ext>
                      </a:extLst>
                    </a:blip>
                    <a:srcRect l="5049" t="7444" r="5409" b="3345"/>
                    <a:stretch/>
                  </pic:blipFill>
                  <pic:spPr bwMode="auto">
                    <a:xfrm>
                      <a:off x="0" y="0"/>
                      <a:ext cx="3322955" cy="2921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15CBB" w14:textId="2D7BA534" w:rsidR="00022F4C" w:rsidRDefault="00022F4C"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4B3EC73B" w14:textId="2020C747" w:rsidR="002F7F73" w:rsidRDefault="002F7F73"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12DDDF4D" w14:textId="7952D30D" w:rsidR="002F7F73" w:rsidRDefault="002F7F73"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0A333491" w14:textId="4FF432AD" w:rsidR="002F7F73" w:rsidRDefault="002F7F73"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2DE81AB2" w14:textId="4A18E15B" w:rsidR="002F7F73" w:rsidRDefault="002F7F73"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20F9B39E" w14:textId="0A457E85" w:rsidR="002F7F73" w:rsidRDefault="002F7F73"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726D8C5F" w14:textId="0C2726ED" w:rsidR="00DA459D" w:rsidRDefault="00DA459D"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2B11D921" w14:textId="4E5EE365" w:rsidR="00DA459D" w:rsidRDefault="00DA459D"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76E45A61" w14:textId="45CBC084" w:rsidR="00DA459D" w:rsidRPr="00A47474" w:rsidRDefault="00DA459D" w:rsidP="00A47474">
      <w:pPr>
        <w:spacing w:before="100" w:beforeAutospacing="1" w:after="100" w:afterAutospacing="1" w:line="240" w:lineRule="auto"/>
        <w:rPr>
          <w:rFonts w:ascii="Times New Roman" w:eastAsia="Times New Roman" w:hAnsi="Times New Roman" w:cs="Times New Roman"/>
          <w:color w:val="000000"/>
          <w:kern w:val="0"/>
          <w14:ligatures w14:val="none"/>
        </w:rPr>
      </w:pPr>
    </w:p>
    <w:p w14:paraId="41AFE04A" w14:textId="6831852D" w:rsidR="00867EE1" w:rsidRPr="00101FD1" w:rsidRDefault="00867EE1" w:rsidP="00101FD1">
      <w:pPr>
        <w:pStyle w:val="Heading3"/>
        <w:jc w:val="center"/>
        <w:rPr>
          <w:rFonts w:ascii="Times New Roman" w:eastAsia="Times New Roman" w:hAnsi="Times New Roman" w:cs="Times New Roman"/>
          <w:b/>
          <w:bCs/>
          <w:color w:val="000000" w:themeColor="text1"/>
          <w:kern w:val="0"/>
          <w14:ligatures w14:val="none"/>
        </w:rPr>
      </w:pPr>
      <w:r w:rsidRPr="00101FD1">
        <w:rPr>
          <w:rFonts w:ascii="Times New Roman" w:hAnsi="Times New Roman" w:cs="Times New Roman"/>
          <w:b/>
          <w:bCs/>
          <w:color w:val="000000" w:themeColor="text1"/>
        </w:rPr>
        <w:t>Variable Importance and Top Predictors of Self-Determination</w:t>
      </w:r>
      <w:r w:rsidR="00101FD1" w:rsidRPr="00101FD1">
        <w:rPr>
          <w:rFonts w:ascii="Times New Roman" w:hAnsi="Times New Roman" w:cs="Times New Roman"/>
          <w:b/>
          <w:bCs/>
          <w:color w:val="000000" w:themeColor="text1"/>
        </w:rPr>
        <w:t xml:space="preserve"> Conflict Onset and Escalation</w:t>
      </w:r>
    </w:p>
    <w:p w14:paraId="5C0C0BC1" w14:textId="56D04698" w:rsidR="0093319A" w:rsidRPr="0093319A" w:rsidRDefault="0093319A" w:rsidP="00370407">
      <w:pPr>
        <w:spacing w:before="100" w:beforeAutospacing="1" w:after="100" w:afterAutospacing="1" w:line="240" w:lineRule="auto"/>
        <w:rPr>
          <w:rFonts w:ascii="Times New Roman" w:eastAsia="Times New Roman" w:hAnsi="Times New Roman" w:cs="Times New Roman"/>
          <w:kern w:val="0"/>
          <w14:ligatures w14:val="none"/>
        </w:rPr>
      </w:pPr>
      <w:r w:rsidRPr="0093319A">
        <w:rPr>
          <w:rFonts w:ascii="Times New Roman" w:eastAsia="Times New Roman" w:hAnsi="Times New Roman" w:cs="Times New Roman"/>
          <w:kern w:val="0"/>
          <w14:ligatures w14:val="none"/>
        </w:rPr>
        <w:t>Another important dimension of model performance lies in examining variable importance—specifically, identifying which predictors contribute most to the model’s accuracy. To assess this, we employ the permutation importance method, a widely used technique in machine learning that measures the decrease in model accuracy when the values of a given predictor are randomly shuffled</w:t>
      </w:r>
      <w:r w:rsidR="00DD20B1">
        <w:rPr>
          <w:rFonts w:ascii="Times New Roman" w:eastAsia="Times New Roman" w:hAnsi="Times New Roman" w:cs="Times New Roman"/>
          <w:kern w:val="0"/>
          <w14:ligatures w14:val="none"/>
        </w:rPr>
        <w:t xml:space="preserve"> </w:t>
      </w:r>
      <w:r w:rsidR="00E05BBB" w:rsidRPr="00DD20B1">
        <w:rPr>
          <w:rFonts w:ascii="Times New Roman" w:eastAsia="Times New Roman" w:hAnsi="Times New Roman" w:cs="Times New Roman"/>
          <w:kern w:val="0"/>
          <w14:ligatures w14:val="none"/>
        </w:rPr>
        <w:t>(Altmann et al</w:t>
      </w:r>
      <w:r w:rsidR="00DD20B1" w:rsidRPr="00DD20B1">
        <w:rPr>
          <w:rFonts w:ascii="Times New Roman" w:eastAsia="Times New Roman" w:hAnsi="Times New Roman" w:cs="Times New Roman"/>
          <w:kern w:val="0"/>
          <w14:ligatures w14:val="none"/>
        </w:rPr>
        <w:t xml:space="preserve"> 2010)</w:t>
      </w:r>
      <w:r w:rsidRPr="0093319A">
        <w:rPr>
          <w:rFonts w:ascii="Times New Roman" w:eastAsia="Times New Roman" w:hAnsi="Times New Roman" w:cs="Times New Roman"/>
          <w:kern w:val="0"/>
          <w14:ligatures w14:val="none"/>
        </w:rPr>
        <w:t xml:space="preserve">. If shuffling a variable substantially reduces accuracy, it implies that the variable is highly influential for </w:t>
      </w:r>
      <w:r w:rsidR="00370407" w:rsidRPr="0093319A">
        <w:rPr>
          <w:rFonts w:ascii="Times New Roman" w:eastAsia="Times New Roman" w:hAnsi="Times New Roman" w:cs="Times New Roman"/>
          <w:kern w:val="0"/>
          <w14:ligatures w14:val="none"/>
        </w:rPr>
        <w:t>prediction.</w:t>
      </w:r>
      <w:r w:rsidR="00370407" w:rsidRPr="0093319A">
        <w:rPr>
          <w:rFonts w:ascii="Times New Roman" w:eastAsia="Times New Roman" w:hAnsi="Times New Roman" w:cs="Times New Roman"/>
          <w:b/>
          <w:bCs/>
          <w:kern w:val="0"/>
          <w14:ligatures w14:val="none"/>
        </w:rPr>
        <w:t xml:space="preserve"> </w:t>
      </w:r>
      <w:r w:rsidR="00370407" w:rsidRPr="00370407">
        <w:rPr>
          <w:rFonts w:ascii="Times New Roman" w:eastAsia="Times New Roman" w:hAnsi="Times New Roman" w:cs="Times New Roman"/>
          <w:kern w:val="0"/>
          <w14:ligatures w14:val="none"/>
        </w:rPr>
        <w:t>Figure</w:t>
      </w:r>
      <w:r w:rsidRPr="0093319A">
        <w:rPr>
          <w:rFonts w:ascii="Times New Roman" w:eastAsia="Times New Roman" w:hAnsi="Times New Roman" w:cs="Times New Roman"/>
          <w:kern w:val="0"/>
          <w14:ligatures w14:val="none"/>
        </w:rPr>
        <w:t xml:space="preserve"> </w:t>
      </w:r>
      <w:r w:rsidR="009E66E9" w:rsidRPr="00370407">
        <w:rPr>
          <w:rFonts w:ascii="Times New Roman" w:eastAsia="Times New Roman" w:hAnsi="Times New Roman" w:cs="Times New Roman"/>
          <w:kern w:val="0"/>
          <w14:ligatures w14:val="none"/>
        </w:rPr>
        <w:t>2</w:t>
      </w:r>
      <w:r w:rsidRPr="0093319A">
        <w:rPr>
          <w:rFonts w:ascii="Times New Roman" w:eastAsia="Times New Roman" w:hAnsi="Times New Roman" w:cs="Times New Roman"/>
          <w:kern w:val="0"/>
          <w14:ligatures w14:val="none"/>
        </w:rPr>
        <w:t xml:space="preserve"> illustrates the permutation-based variable importance scores for the</w:t>
      </w:r>
      <w:r w:rsidR="009E66E9">
        <w:rPr>
          <w:rFonts w:ascii="Times New Roman" w:eastAsia="Times New Roman" w:hAnsi="Times New Roman" w:cs="Times New Roman"/>
          <w:kern w:val="0"/>
          <w14:ligatures w14:val="none"/>
        </w:rPr>
        <w:t xml:space="preserve"> </w:t>
      </w:r>
      <w:r w:rsidR="009E66E9" w:rsidRPr="0092681A">
        <w:rPr>
          <w:rFonts w:ascii="Times New Roman" w:eastAsia="Times New Roman" w:hAnsi="Times New Roman" w:cs="Times New Roman"/>
          <w:kern w:val="0"/>
          <w14:ligatures w14:val="none"/>
        </w:rPr>
        <w:t>Complete</w:t>
      </w:r>
      <w:r w:rsidRPr="0092681A">
        <w:rPr>
          <w:rFonts w:ascii="Times New Roman" w:eastAsia="Times New Roman" w:hAnsi="Times New Roman" w:cs="Times New Roman"/>
          <w:kern w:val="0"/>
          <w14:ligatures w14:val="none"/>
        </w:rPr>
        <w:t xml:space="preserve"> Random Forest</w:t>
      </w:r>
      <w:r w:rsidRPr="0093319A">
        <w:rPr>
          <w:rFonts w:ascii="Times New Roman" w:eastAsia="Times New Roman" w:hAnsi="Times New Roman" w:cs="Times New Roman"/>
          <w:kern w:val="0"/>
          <w14:ligatures w14:val="none"/>
        </w:rPr>
        <w:t xml:space="preserve"> models </w:t>
      </w:r>
      <w:r w:rsidR="00DD20B1">
        <w:rPr>
          <w:rFonts w:ascii="Times New Roman" w:eastAsia="Times New Roman" w:hAnsi="Times New Roman" w:cs="Times New Roman"/>
          <w:kern w:val="0"/>
          <w14:ligatures w14:val="none"/>
        </w:rPr>
        <w:t>across</w:t>
      </w:r>
      <w:r w:rsidRPr="0093319A">
        <w:rPr>
          <w:rFonts w:ascii="Times New Roman" w:eastAsia="Times New Roman" w:hAnsi="Times New Roman" w:cs="Times New Roman"/>
          <w:kern w:val="0"/>
          <w14:ligatures w14:val="none"/>
        </w:rPr>
        <w:t xml:space="preserve"> both stages</w:t>
      </w:r>
      <w:r w:rsidR="00DD20B1">
        <w:rPr>
          <w:rFonts w:ascii="Times New Roman" w:eastAsia="Times New Roman" w:hAnsi="Times New Roman" w:cs="Times New Roman"/>
          <w:kern w:val="0"/>
          <w14:ligatures w14:val="none"/>
        </w:rPr>
        <w:t xml:space="preserve"> of</w:t>
      </w:r>
      <w:r w:rsidRPr="0093319A">
        <w:rPr>
          <w:rFonts w:ascii="Times New Roman" w:eastAsia="Times New Roman" w:hAnsi="Times New Roman" w:cs="Times New Roman"/>
          <w:kern w:val="0"/>
          <w14:ligatures w14:val="none"/>
        </w:rPr>
        <w:t xml:space="preserve"> </w:t>
      </w:r>
      <w:r w:rsidR="00DD20B1">
        <w:rPr>
          <w:rFonts w:ascii="Times New Roman" w:eastAsia="Times New Roman" w:hAnsi="Times New Roman" w:cs="Times New Roman"/>
          <w:kern w:val="0"/>
          <w14:ligatures w14:val="none"/>
        </w:rPr>
        <w:t>c</w:t>
      </w:r>
      <w:r w:rsidRPr="0093319A">
        <w:rPr>
          <w:rFonts w:ascii="Times New Roman" w:eastAsia="Times New Roman" w:hAnsi="Times New Roman" w:cs="Times New Roman"/>
          <w:kern w:val="0"/>
          <w14:ligatures w14:val="none"/>
        </w:rPr>
        <w:t xml:space="preserve">onflict </w:t>
      </w:r>
      <w:r w:rsidR="00DD20B1">
        <w:rPr>
          <w:rFonts w:ascii="Times New Roman" w:eastAsia="Times New Roman" w:hAnsi="Times New Roman" w:cs="Times New Roman"/>
          <w:kern w:val="0"/>
          <w14:ligatures w14:val="none"/>
        </w:rPr>
        <w:t>o</w:t>
      </w:r>
      <w:r w:rsidRPr="0093319A">
        <w:rPr>
          <w:rFonts w:ascii="Times New Roman" w:eastAsia="Times New Roman" w:hAnsi="Times New Roman" w:cs="Times New Roman"/>
          <w:kern w:val="0"/>
          <w14:ligatures w14:val="none"/>
        </w:rPr>
        <w:t xml:space="preserve">nset and </w:t>
      </w:r>
      <w:r w:rsidR="00DD20B1">
        <w:rPr>
          <w:rFonts w:ascii="Times New Roman" w:eastAsia="Times New Roman" w:hAnsi="Times New Roman" w:cs="Times New Roman"/>
          <w:kern w:val="0"/>
          <w14:ligatures w14:val="none"/>
        </w:rPr>
        <w:t>c</w:t>
      </w:r>
      <w:r w:rsidRPr="0093319A">
        <w:rPr>
          <w:rFonts w:ascii="Times New Roman" w:eastAsia="Times New Roman" w:hAnsi="Times New Roman" w:cs="Times New Roman"/>
          <w:kern w:val="0"/>
          <w14:ligatures w14:val="none"/>
        </w:rPr>
        <w:t xml:space="preserve">onflict </w:t>
      </w:r>
      <w:r w:rsidR="00DD20B1">
        <w:rPr>
          <w:rFonts w:ascii="Times New Roman" w:eastAsia="Times New Roman" w:hAnsi="Times New Roman" w:cs="Times New Roman"/>
          <w:kern w:val="0"/>
          <w14:ligatures w14:val="none"/>
        </w:rPr>
        <w:t>e</w:t>
      </w:r>
      <w:r w:rsidRPr="0093319A">
        <w:rPr>
          <w:rFonts w:ascii="Times New Roman" w:eastAsia="Times New Roman" w:hAnsi="Times New Roman" w:cs="Times New Roman"/>
          <w:kern w:val="0"/>
          <w14:ligatures w14:val="none"/>
        </w:rPr>
        <w:t>scalation.</w:t>
      </w:r>
      <w:r w:rsidR="008425AB">
        <w:rPr>
          <w:rFonts w:ascii="Times New Roman" w:eastAsia="Times New Roman" w:hAnsi="Times New Roman" w:cs="Times New Roman"/>
          <w:kern w:val="0"/>
          <w14:ligatures w14:val="none"/>
        </w:rPr>
        <w:t xml:space="preserve"> </w:t>
      </w:r>
    </w:p>
    <w:p w14:paraId="40B73AD8" w14:textId="77777777" w:rsidR="00867EE1" w:rsidRDefault="00867EE1" w:rsidP="003E6404">
      <w:pPr>
        <w:pStyle w:val="Heading3"/>
        <w:rPr>
          <w:rFonts w:ascii="Times New Roman" w:eastAsia="Times New Roman" w:hAnsi="Times New Roman" w:cs="Times New Roman"/>
          <w:b/>
          <w:bCs/>
          <w:color w:val="000000" w:themeColor="text1"/>
          <w:kern w:val="0"/>
          <w:sz w:val="24"/>
          <w:szCs w:val="24"/>
          <w14:ligatures w14:val="none"/>
        </w:rPr>
      </w:pPr>
    </w:p>
    <w:p w14:paraId="7AC62DC3" w14:textId="14E225AA" w:rsidR="003E6404" w:rsidRPr="001A751E" w:rsidRDefault="00A47474" w:rsidP="003E6404">
      <w:pPr>
        <w:pStyle w:val="Heading3"/>
        <w:rPr>
          <w:rFonts w:ascii="Times New Roman" w:hAnsi="Times New Roman" w:cs="Times New Roman"/>
          <w:b/>
          <w:bCs/>
          <w:color w:val="000000" w:themeColor="text1"/>
          <w:sz w:val="24"/>
          <w:szCs w:val="24"/>
        </w:rPr>
      </w:pPr>
      <w:r w:rsidRPr="00A47474">
        <w:rPr>
          <w:rFonts w:ascii="Times New Roman" w:eastAsia="Times New Roman" w:hAnsi="Times New Roman" w:cs="Times New Roman"/>
          <w:b/>
          <w:bCs/>
          <w:color w:val="000000" w:themeColor="text1"/>
          <w:kern w:val="0"/>
          <w:sz w:val="24"/>
          <w:szCs w:val="24"/>
          <w14:ligatures w14:val="none"/>
        </w:rPr>
        <w:t xml:space="preserve">Figure 2.  </w:t>
      </w:r>
      <w:r w:rsidR="003E6404" w:rsidRPr="001A751E">
        <w:rPr>
          <w:rFonts w:ascii="Times New Roman" w:hAnsi="Times New Roman" w:cs="Times New Roman"/>
          <w:b/>
          <w:bCs/>
          <w:color w:val="000000" w:themeColor="text1"/>
          <w:sz w:val="24"/>
          <w:szCs w:val="24"/>
        </w:rPr>
        <w:t>Top Predictors of Self-Determination Conflict Onset</w:t>
      </w:r>
      <w:r w:rsidR="000021D7">
        <w:rPr>
          <w:rFonts w:ascii="Times New Roman" w:hAnsi="Times New Roman" w:cs="Times New Roman"/>
          <w:b/>
          <w:bCs/>
          <w:color w:val="000000" w:themeColor="text1"/>
          <w:sz w:val="24"/>
          <w:szCs w:val="24"/>
        </w:rPr>
        <w:t xml:space="preserve"> and Escalation </w:t>
      </w:r>
    </w:p>
    <w:p w14:paraId="040DD8E0" w14:textId="70228BAF" w:rsidR="00E84B6F" w:rsidRDefault="000021D7" w:rsidP="008D2151">
      <w:pPr>
        <w:pStyle w:val="p1"/>
        <w:rPr>
          <w:b/>
          <w:bCs/>
        </w:rPr>
      </w:pPr>
      <w:r w:rsidRPr="000021D7">
        <w:rPr>
          <w:b/>
          <w:bCs/>
          <w:noProof/>
        </w:rPr>
        <w:drawing>
          <wp:inline distT="0" distB="0" distL="0" distR="0" wp14:anchorId="7855AC69" wp14:editId="57F7C190">
            <wp:extent cx="5943600" cy="3867785"/>
            <wp:effectExtent l="0" t="0" r="0" b="5715"/>
            <wp:docPr id="1828290690" name="Picture 1" descr="A graph of a graph showing a confl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90690" name="Picture 1" descr="A graph of a graph showing a conflict&#10;&#10;AI-generated content may be incorrect."/>
                    <pic:cNvPicPr/>
                  </pic:nvPicPr>
                  <pic:blipFill>
                    <a:blip r:embed="rId11"/>
                    <a:stretch>
                      <a:fillRect/>
                    </a:stretch>
                  </pic:blipFill>
                  <pic:spPr>
                    <a:xfrm>
                      <a:off x="0" y="0"/>
                      <a:ext cx="5943600" cy="3867785"/>
                    </a:xfrm>
                    <a:prstGeom prst="rect">
                      <a:avLst/>
                    </a:prstGeom>
                  </pic:spPr>
                </pic:pic>
              </a:graphicData>
            </a:graphic>
          </wp:inline>
        </w:drawing>
      </w:r>
    </w:p>
    <w:p w14:paraId="2D312B69" w14:textId="41CFB993" w:rsidR="00C93DF3" w:rsidRDefault="00D47C05" w:rsidP="008E4A9C">
      <w:pPr>
        <w:spacing w:before="100" w:beforeAutospacing="1" w:after="100" w:afterAutospacing="1" w:line="240" w:lineRule="auto"/>
        <w:rPr>
          <w:rFonts w:ascii="Times New Roman" w:eastAsia="Times New Roman" w:hAnsi="Times New Roman" w:cs="Times New Roman"/>
          <w:kern w:val="0"/>
          <w14:ligatures w14:val="none"/>
        </w:rPr>
      </w:pPr>
      <w:r w:rsidRPr="00D47C05">
        <w:rPr>
          <w:rFonts w:ascii="Times New Roman" w:eastAsia="Times New Roman" w:hAnsi="Times New Roman" w:cs="Times New Roman"/>
          <w:kern w:val="0"/>
          <w14:ligatures w14:val="none"/>
        </w:rPr>
        <w:t xml:space="preserve">In the Conflict Onset stage, the most influential predictors are primarily </w:t>
      </w:r>
      <w:r>
        <w:rPr>
          <w:rFonts w:ascii="Times New Roman" w:eastAsia="Times New Roman" w:hAnsi="Times New Roman" w:cs="Times New Roman"/>
          <w:kern w:val="0"/>
          <w14:ligatures w14:val="none"/>
        </w:rPr>
        <w:t>state level factors</w:t>
      </w:r>
      <w:r w:rsidRPr="00D47C05">
        <w:rPr>
          <w:rFonts w:ascii="Times New Roman" w:eastAsia="Times New Roman" w:hAnsi="Times New Roman" w:cs="Times New Roman"/>
          <w:kern w:val="0"/>
          <w14:ligatures w14:val="none"/>
        </w:rPr>
        <w:t xml:space="preserve">. </w:t>
      </w:r>
      <w:r w:rsidR="00EB4BA7">
        <w:rPr>
          <w:rFonts w:ascii="Times New Roman" w:eastAsia="Times New Roman" w:hAnsi="Times New Roman" w:cs="Times New Roman"/>
          <w:kern w:val="0"/>
          <w14:ligatures w14:val="none"/>
        </w:rPr>
        <w:t>Country p</w:t>
      </w:r>
      <w:r w:rsidRPr="00D47C05">
        <w:rPr>
          <w:rFonts w:ascii="Times New Roman" w:eastAsia="Times New Roman" w:hAnsi="Times New Roman" w:cs="Times New Roman"/>
          <w:kern w:val="0"/>
          <w14:ligatures w14:val="none"/>
        </w:rPr>
        <w:t>opulation size, GDP per capita, and the number of relevant groups</w:t>
      </w:r>
      <w:r w:rsidR="003F00E6">
        <w:rPr>
          <w:rFonts w:ascii="Times New Roman" w:eastAsia="Times New Roman" w:hAnsi="Times New Roman" w:cs="Times New Roman"/>
          <w:kern w:val="0"/>
          <w14:ligatures w14:val="none"/>
        </w:rPr>
        <w:t xml:space="preserve"> in the country</w:t>
      </w:r>
      <w:r w:rsidRPr="00D47C05">
        <w:rPr>
          <w:rFonts w:ascii="Times New Roman" w:eastAsia="Times New Roman" w:hAnsi="Times New Roman" w:cs="Times New Roman"/>
          <w:kern w:val="0"/>
          <w14:ligatures w14:val="none"/>
        </w:rPr>
        <w:t xml:space="preserve"> emerge as the top three variables driving </w:t>
      </w:r>
      <w:r>
        <w:rPr>
          <w:rFonts w:ascii="Times New Roman" w:eastAsia="Times New Roman" w:hAnsi="Times New Roman" w:cs="Times New Roman"/>
          <w:kern w:val="0"/>
          <w14:ligatures w14:val="none"/>
        </w:rPr>
        <w:t>conflict onset</w:t>
      </w:r>
      <w:r w:rsidRPr="00D47C05">
        <w:rPr>
          <w:rFonts w:ascii="Times New Roman" w:eastAsia="Times New Roman" w:hAnsi="Times New Roman" w:cs="Times New Roman"/>
          <w:kern w:val="0"/>
          <w14:ligatures w14:val="none"/>
        </w:rPr>
        <w:t xml:space="preserve">. While population and GDP per capita are not components of the theoretical models under consideration, their consistent inclusion as control variables </w:t>
      </w:r>
      <w:r w:rsidR="003F00E6" w:rsidRPr="00D47C05">
        <w:rPr>
          <w:rFonts w:ascii="Times New Roman" w:eastAsia="Times New Roman" w:hAnsi="Times New Roman" w:cs="Times New Roman"/>
          <w:kern w:val="0"/>
          <w14:ligatures w14:val="none"/>
        </w:rPr>
        <w:t>stresses</w:t>
      </w:r>
      <w:r w:rsidRPr="00D47C05">
        <w:rPr>
          <w:rFonts w:ascii="Times New Roman" w:eastAsia="Times New Roman" w:hAnsi="Times New Roman" w:cs="Times New Roman"/>
          <w:kern w:val="0"/>
          <w14:ligatures w14:val="none"/>
        </w:rPr>
        <w:t xml:space="preserve"> the foundational role of macro-structural conditions in shaping separatist mobilization. The number of relevant groups—an indicator aligned with the Political Opportunity model—further reinforces the significance of structural opportunities for mobilization</w:t>
      </w:r>
    </w:p>
    <w:p w14:paraId="7173043F" w14:textId="6A103D60" w:rsidR="008E4A9C" w:rsidRPr="008A7DF1" w:rsidRDefault="00D47C05" w:rsidP="008E4A9C">
      <w:pPr>
        <w:spacing w:before="100" w:beforeAutospacing="1" w:after="100" w:afterAutospacing="1" w:line="240" w:lineRule="auto"/>
        <w:rPr>
          <w:rFonts w:ascii="Times New Roman" w:eastAsia="Times New Roman" w:hAnsi="Times New Roman" w:cs="Times New Roman"/>
          <w:kern w:val="0"/>
          <w14:ligatures w14:val="none"/>
        </w:rPr>
      </w:pPr>
      <w:r w:rsidRPr="00D47C05">
        <w:rPr>
          <w:rFonts w:ascii="Times New Roman" w:eastAsia="Times New Roman" w:hAnsi="Times New Roman" w:cs="Times New Roman"/>
          <w:kern w:val="0"/>
          <w14:ligatures w14:val="none"/>
        </w:rPr>
        <w:t xml:space="preserve">Notably, federalism and democracy, also classified under the Political Opportunity framework, rank highly in importance. Following these are group size, which serves as </w:t>
      </w:r>
      <w:r w:rsidR="00C93DF3">
        <w:rPr>
          <w:rFonts w:ascii="Times New Roman" w:eastAsia="Times New Roman" w:hAnsi="Times New Roman" w:cs="Times New Roman"/>
          <w:kern w:val="0"/>
          <w14:ligatures w14:val="none"/>
        </w:rPr>
        <w:t>one of the indicators</w:t>
      </w:r>
      <w:r w:rsidRPr="00D47C05">
        <w:rPr>
          <w:rFonts w:ascii="Times New Roman" w:eastAsia="Times New Roman" w:hAnsi="Times New Roman" w:cs="Times New Roman"/>
          <w:kern w:val="0"/>
          <w14:ligatures w14:val="none"/>
        </w:rPr>
        <w:t xml:space="preserve"> for the Resource Mobilization model. Meanwhile, indicators associated with Historical Grievances—namely, political exclusion and lost autonomy—appear lower in the variable importance rankings. Taken together, these findings suggest that the predictive power in </w:t>
      </w:r>
      <w:r w:rsidR="0004454E">
        <w:rPr>
          <w:rFonts w:ascii="Times New Roman" w:eastAsia="Times New Roman" w:hAnsi="Times New Roman" w:cs="Times New Roman"/>
          <w:kern w:val="0"/>
          <w14:ligatures w14:val="none"/>
        </w:rPr>
        <w:t>predicting</w:t>
      </w:r>
      <w:r w:rsidRPr="00D47C05">
        <w:rPr>
          <w:rFonts w:ascii="Times New Roman" w:eastAsia="Times New Roman" w:hAnsi="Times New Roman" w:cs="Times New Roman"/>
          <w:kern w:val="0"/>
          <w14:ligatures w14:val="none"/>
        </w:rPr>
        <w:t xml:space="preserve"> the onset of nonviolent separatist movements is </w:t>
      </w:r>
      <w:r w:rsidRPr="00725786">
        <w:rPr>
          <w:rFonts w:ascii="Times New Roman" w:eastAsia="Times New Roman" w:hAnsi="Times New Roman" w:cs="Times New Roman"/>
          <w:i/>
          <w:iCs/>
          <w:kern w:val="0"/>
          <w14:ligatures w14:val="none"/>
        </w:rPr>
        <w:t>largely</w:t>
      </w:r>
      <w:r w:rsidRPr="00D47C05">
        <w:rPr>
          <w:rFonts w:ascii="Times New Roman" w:eastAsia="Times New Roman" w:hAnsi="Times New Roman" w:cs="Times New Roman"/>
          <w:kern w:val="0"/>
          <w14:ligatures w14:val="none"/>
        </w:rPr>
        <w:t xml:space="preserve"> driven by variables associated with the Political Opportunity and Resource Mobilization models, rather than grievance-based explanations.</w:t>
      </w:r>
      <w:r w:rsidR="008E4A9C" w:rsidRPr="008A7DF1">
        <w:rPr>
          <w:rFonts w:ascii="Times New Roman" w:eastAsia="Times New Roman" w:hAnsi="Times New Roman" w:cs="Times New Roman"/>
          <w:kern w:val="0"/>
          <w14:ligatures w14:val="none"/>
        </w:rPr>
        <w:t xml:space="preserve"> </w:t>
      </w:r>
    </w:p>
    <w:p w14:paraId="33884880" w14:textId="0DA839AA" w:rsidR="00C75976" w:rsidRDefault="00C75976" w:rsidP="008E4A9C">
      <w:pPr>
        <w:spacing w:before="100" w:beforeAutospacing="1" w:after="100" w:afterAutospacing="1" w:line="240" w:lineRule="auto"/>
        <w:rPr>
          <w:rFonts w:ascii="Times New Roman" w:eastAsia="Times New Roman" w:hAnsi="Times New Roman" w:cs="Times New Roman"/>
          <w:kern w:val="0"/>
          <w14:ligatures w14:val="none"/>
        </w:rPr>
      </w:pPr>
      <w:r w:rsidRPr="00C75976">
        <w:rPr>
          <w:rFonts w:ascii="Times New Roman" w:eastAsia="Times New Roman" w:hAnsi="Times New Roman" w:cs="Times New Roman"/>
          <w:kern w:val="0"/>
          <w14:ligatures w14:val="none"/>
        </w:rPr>
        <w:t>Similarly, in the Conflict Escalation stage, the most influential predictors remain largely state-centered and structurally rooted. The top three variables—GDP per capita, democracy, and the number of relevant groups—</w:t>
      </w:r>
      <w:r w:rsidR="00D318D8" w:rsidRPr="00C75976">
        <w:rPr>
          <w:rFonts w:ascii="Times New Roman" w:eastAsia="Times New Roman" w:hAnsi="Times New Roman" w:cs="Times New Roman"/>
          <w:kern w:val="0"/>
          <w14:ligatures w14:val="none"/>
        </w:rPr>
        <w:t>emphasize</w:t>
      </w:r>
      <w:r w:rsidRPr="00C75976">
        <w:rPr>
          <w:rFonts w:ascii="Times New Roman" w:eastAsia="Times New Roman" w:hAnsi="Times New Roman" w:cs="Times New Roman"/>
          <w:kern w:val="0"/>
          <w14:ligatures w14:val="none"/>
        </w:rPr>
        <w:t xml:space="preserve"> the continued salience of political and economic structures in conditioning the likelihood of conflict </w:t>
      </w:r>
      <w:r w:rsidR="00D318D8">
        <w:rPr>
          <w:rFonts w:ascii="Times New Roman" w:eastAsia="Times New Roman" w:hAnsi="Times New Roman" w:cs="Times New Roman"/>
          <w:kern w:val="0"/>
          <w14:ligatures w14:val="none"/>
        </w:rPr>
        <w:t>escalation</w:t>
      </w:r>
      <w:r w:rsidRPr="00C75976">
        <w:rPr>
          <w:rFonts w:ascii="Times New Roman" w:eastAsia="Times New Roman" w:hAnsi="Times New Roman" w:cs="Times New Roman"/>
          <w:kern w:val="0"/>
          <w14:ligatures w14:val="none"/>
        </w:rPr>
        <w:t xml:space="preserve">. While GDP per capita serves as a control variable, both democracy and the number of relevant groups are central indicators of the Political Opportunity model. These are followed by population (another control) and the Cold War indicator, which is also part of the Political Opportunity framework. Notably, four out of the five most important predictors for conflict escalation originate from the Political Opportunity model. Grievance-based factors, including historically lost autonomy and recent autonomy downgrades, appear only after these core </w:t>
      </w:r>
      <w:r w:rsidR="00F02EF9">
        <w:rPr>
          <w:rFonts w:ascii="Times New Roman" w:eastAsia="Times New Roman" w:hAnsi="Times New Roman" w:cs="Times New Roman"/>
          <w:kern w:val="0"/>
          <w14:ligatures w14:val="none"/>
        </w:rPr>
        <w:t>political opportunity model</w:t>
      </w:r>
      <w:r w:rsidRPr="00C75976">
        <w:rPr>
          <w:rFonts w:ascii="Times New Roman" w:eastAsia="Times New Roman" w:hAnsi="Times New Roman" w:cs="Times New Roman"/>
          <w:kern w:val="0"/>
          <w14:ligatures w14:val="none"/>
        </w:rPr>
        <w:t xml:space="preserve"> predictors.</w:t>
      </w:r>
    </w:p>
    <w:p w14:paraId="347A1640" w14:textId="58F26F35" w:rsidR="00C75976" w:rsidRDefault="00C75976" w:rsidP="008E4A9C">
      <w:pPr>
        <w:spacing w:before="100" w:beforeAutospacing="1" w:after="100" w:afterAutospacing="1" w:line="240" w:lineRule="auto"/>
        <w:rPr>
          <w:rFonts w:ascii="Times New Roman" w:eastAsia="Times New Roman" w:hAnsi="Times New Roman" w:cs="Times New Roman"/>
          <w:kern w:val="0"/>
          <w14:ligatures w14:val="none"/>
        </w:rPr>
      </w:pPr>
      <w:r w:rsidRPr="00C75976">
        <w:rPr>
          <w:rFonts w:ascii="Times New Roman" w:eastAsia="Times New Roman" w:hAnsi="Times New Roman" w:cs="Times New Roman"/>
          <w:kern w:val="0"/>
          <w14:ligatures w14:val="none"/>
        </w:rPr>
        <w:t>Taken together, the variable importance results from both stages—conflict onset and escalation—suggest a consistent pattern: political opportunity structures, rather than grievance-based explanations, play a more dominant role in predicting the dynamics of separatist mobilization and its escalation into conflict.</w:t>
      </w:r>
    </w:p>
    <w:p w14:paraId="478BA4D2" w14:textId="00A9F2A9" w:rsidR="00D03B4F" w:rsidRDefault="00E900F4" w:rsidP="00D03B4F">
      <w:pPr>
        <w:spacing w:before="100" w:beforeAutospacing="1" w:after="100" w:afterAutospacing="1" w:line="240" w:lineRule="auto"/>
        <w:rPr>
          <w:rFonts w:ascii="Times New Roman" w:eastAsia="Times New Roman" w:hAnsi="Times New Roman" w:cs="Times New Roman"/>
          <w:kern w:val="0"/>
          <w14:ligatures w14:val="none"/>
        </w:rPr>
      </w:pPr>
      <w:r w:rsidRPr="00E900F4">
        <w:rPr>
          <w:rFonts w:ascii="Times New Roman" w:eastAsia="Times New Roman" w:hAnsi="Times New Roman" w:cs="Times New Roman"/>
          <w:kern w:val="0"/>
          <w14:ligatures w14:val="none"/>
        </w:rPr>
        <w:t>Turning to the partial dependence plots, Figures 3.1 and 3.2 illustrate how the top five predictors at each stage influence the predicted probability of conflict onset and escalation. These plots reveal the marginal effect of each variable while holding others constant, offering insight into their substantive</w:t>
      </w:r>
      <w:r w:rsidR="00C80DDD">
        <w:rPr>
          <w:rFonts w:ascii="Times New Roman" w:eastAsia="Times New Roman" w:hAnsi="Times New Roman" w:cs="Times New Roman"/>
          <w:kern w:val="0"/>
          <w14:ligatures w14:val="none"/>
        </w:rPr>
        <w:t xml:space="preserve"> predictive</w:t>
      </w:r>
      <w:r w:rsidRPr="00E900F4">
        <w:rPr>
          <w:rFonts w:ascii="Times New Roman" w:eastAsia="Times New Roman" w:hAnsi="Times New Roman" w:cs="Times New Roman"/>
          <w:kern w:val="0"/>
          <w14:ligatures w14:val="none"/>
        </w:rPr>
        <w:t xml:space="preserve"> contributions. In the Conflict Onset stage, four of the top five predictors are continuous variables and exhibit pronounced nonlinear relationships. </w:t>
      </w:r>
      <w:r w:rsidR="007B0444">
        <w:rPr>
          <w:rFonts w:ascii="Times New Roman" w:eastAsia="Times New Roman" w:hAnsi="Times New Roman" w:cs="Times New Roman"/>
          <w:kern w:val="0"/>
          <w14:ligatures w14:val="none"/>
        </w:rPr>
        <w:t>H</w:t>
      </w:r>
      <w:r w:rsidRPr="00E900F4">
        <w:rPr>
          <w:rFonts w:ascii="Times New Roman" w:eastAsia="Times New Roman" w:hAnsi="Times New Roman" w:cs="Times New Roman"/>
          <w:kern w:val="0"/>
          <w14:ligatures w14:val="none"/>
        </w:rPr>
        <w:t>igher levels of GDP per capita are associated with an increased probability of nonviolent onset</w:t>
      </w:r>
      <w:r w:rsidR="006B2022">
        <w:rPr>
          <w:rFonts w:ascii="Times New Roman" w:eastAsia="Times New Roman" w:hAnsi="Times New Roman" w:cs="Times New Roman"/>
          <w:kern w:val="0"/>
          <w14:ligatures w14:val="none"/>
        </w:rPr>
        <w:t>.</w:t>
      </w:r>
      <w:r w:rsidRPr="00E900F4">
        <w:rPr>
          <w:rFonts w:ascii="Times New Roman" w:eastAsia="Times New Roman" w:hAnsi="Times New Roman" w:cs="Times New Roman"/>
          <w:kern w:val="0"/>
          <w14:ligatures w14:val="none"/>
        </w:rPr>
        <w:t xml:space="preserve"> </w:t>
      </w:r>
      <w:r w:rsidR="006B2022">
        <w:rPr>
          <w:rFonts w:ascii="Times New Roman" w:eastAsia="Times New Roman" w:hAnsi="Times New Roman" w:cs="Times New Roman"/>
          <w:kern w:val="0"/>
          <w14:ligatures w14:val="none"/>
        </w:rPr>
        <w:t xml:space="preserve">This </w:t>
      </w:r>
      <w:r w:rsidR="00E32749">
        <w:rPr>
          <w:rFonts w:ascii="Times New Roman" w:eastAsia="Times New Roman" w:hAnsi="Times New Roman" w:cs="Times New Roman"/>
          <w:kern w:val="0"/>
          <w14:ligatures w14:val="none"/>
        </w:rPr>
        <w:t>coupled with fact that</w:t>
      </w:r>
      <w:r w:rsidRPr="00E900F4">
        <w:rPr>
          <w:rFonts w:ascii="Times New Roman" w:eastAsia="Times New Roman" w:hAnsi="Times New Roman" w:cs="Times New Roman"/>
          <w:kern w:val="0"/>
          <w14:ligatures w14:val="none"/>
        </w:rPr>
        <w:t xml:space="preserve"> democracy</w:t>
      </w:r>
      <w:r w:rsidR="007B0444">
        <w:rPr>
          <w:rFonts w:ascii="Times New Roman" w:eastAsia="Times New Roman" w:hAnsi="Times New Roman" w:cs="Times New Roman"/>
          <w:kern w:val="0"/>
          <w14:ligatures w14:val="none"/>
        </w:rPr>
        <w:t>, given that it</w:t>
      </w:r>
      <w:r w:rsidR="00E32749">
        <w:rPr>
          <w:rFonts w:ascii="Times New Roman" w:eastAsia="Times New Roman" w:hAnsi="Times New Roman" w:cs="Times New Roman"/>
          <w:kern w:val="0"/>
          <w14:ligatures w14:val="none"/>
        </w:rPr>
        <w:t xml:space="preserve"> is among the top</w:t>
      </w:r>
      <w:r w:rsidR="007B0444">
        <w:rPr>
          <w:rFonts w:ascii="Times New Roman" w:eastAsia="Times New Roman" w:hAnsi="Times New Roman" w:cs="Times New Roman"/>
          <w:kern w:val="0"/>
          <w14:ligatures w14:val="none"/>
        </w:rPr>
        <w:t>,</w:t>
      </w:r>
      <w:r w:rsidR="00E32749">
        <w:rPr>
          <w:rFonts w:ascii="Times New Roman" w:eastAsia="Times New Roman" w:hAnsi="Times New Roman" w:cs="Times New Roman"/>
          <w:kern w:val="0"/>
          <w14:ligatures w14:val="none"/>
        </w:rPr>
        <w:t xml:space="preserve"> </w:t>
      </w:r>
      <w:r w:rsidRPr="00E900F4">
        <w:rPr>
          <w:rFonts w:ascii="Times New Roman" w:eastAsia="Times New Roman" w:hAnsi="Times New Roman" w:cs="Times New Roman"/>
          <w:kern w:val="0"/>
          <w14:ligatures w14:val="none"/>
        </w:rPr>
        <w:t>suggest that nonviolent mobilization is more likely in economically developed and politically open contexts. Similarly, increases in population size and the number of relevant groups correspond to higher probabilities of onset</w:t>
      </w:r>
      <w:r w:rsidR="00E32749">
        <w:rPr>
          <w:rFonts w:ascii="Times New Roman" w:eastAsia="Times New Roman" w:hAnsi="Times New Roman" w:cs="Times New Roman"/>
          <w:kern w:val="0"/>
          <w14:ligatures w14:val="none"/>
        </w:rPr>
        <w:t>.</w:t>
      </w:r>
      <w:r w:rsidRPr="00E900F4">
        <w:rPr>
          <w:rFonts w:ascii="Times New Roman" w:eastAsia="Times New Roman" w:hAnsi="Times New Roman" w:cs="Times New Roman"/>
          <w:kern w:val="0"/>
          <w14:ligatures w14:val="none"/>
        </w:rPr>
        <w:t xml:space="preserve"> The only categorical variable among the top predictors is federalism, which shows a clear positive association: groups situated within federal systems are more likely to initiate nonviolent separatist claims.</w:t>
      </w:r>
    </w:p>
    <w:p w14:paraId="17EE8EDB" w14:textId="6822F9A0" w:rsidR="00685B75" w:rsidRPr="00C3649C" w:rsidRDefault="00C3649C" w:rsidP="00C3649C">
      <w:pPr>
        <w:pStyle w:val="Heading3"/>
        <w:jc w:val="center"/>
        <w:rPr>
          <w:rFonts w:ascii="Times New Roman" w:hAnsi="Times New Roman" w:cs="Times New Roman"/>
          <w:b/>
          <w:bCs/>
          <w:color w:val="000000" w:themeColor="text1"/>
          <w:sz w:val="24"/>
          <w:szCs w:val="24"/>
        </w:rPr>
      </w:pPr>
      <w:r w:rsidRPr="00C3649C">
        <w:rPr>
          <w:rFonts w:ascii="Times New Roman" w:hAnsi="Times New Roman" w:cs="Times New Roman"/>
          <w:b/>
          <w:bCs/>
          <w:color w:val="000000" w:themeColor="text1"/>
          <w:sz w:val="24"/>
          <w:szCs w:val="24"/>
        </w:rPr>
        <w:t>Figure 3.1 Partial Dependence of Top 5 Predictors-Conflict Onset</w:t>
      </w:r>
    </w:p>
    <w:p w14:paraId="6726F409" w14:textId="5438EBFE" w:rsidR="00DB5561" w:rsidRDefault="005C14D3" w:rsidP="00574815">
      <w:pPr>
        <w:pStyle w:val="p3"/>
        <w:rPr>
          <w:color w:val="000000"/>
        </w:rPr>
      </w:pPr>
      <w:r w:rsidRPr="005C14D3">
        <w:rPr>
          <w:noProof/>
          <w:color w:val="000000"/>
        </w:rPr>
        <w:drawing>
          <wp:inline distT="0" distB="0" distL="0" distR="0" wp14:anchorId="26C2649D" wp14:editId="5B0434C3">
            <wp:extent cx="5943600" cy="2915920"/>
            <wp:effectExtent l="0" t="0" r="0" b="5080"/>
            <wp:docPr id="867126253" name="Picture 1" descr="A graph of a graph showing the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26253" name="Picture 1" descr="A graph of a graph showing the number of individuals&#10;&#10;AI-generated content may be incorrect."/>
                    <pic:cNvPicPr/>
                  </pic:nvPicPr>
                  <pic:blipFill>
                    <a:blip r:embed="rId12"/>
                    <a:stretch>
                      <a:fillRect/>
                    </a:stretch>
                  </pic:blipFill>
                  <pic:spPr>
                    <a:xfrm>
                      <a:off x="0" y="0"/>
                      <a:ext cx="5943600" cy="2915920"/>
                    </a:xfrm>
                    <a:prstGeom prst="rect">
                      <a:avLst/>
                    </a:prstGeom>
                  </pic:spPr>
                </pic:pic>
              </a:graphicData>
            </a:graphic>
          </wp:inline>
        </w:drawing>
      </w:r>
    </w:p>
    <w:p w14:paraId="69B3693A" w14:textId="77777777" w:rsidR="00423029" w:rsidRDefault="00423029" w:rsidP="00574815">
      <w:pPr>
        <w:pStyle w:val="p3"/>
        <w:rPr>
          <w:color w:val="000000"/>
        </w:rPr>
      </w:pPr>
    </w:p>
    <w:p w14:paraId="61083F0C" w14:textId="32CEEF79" w:rsidR="005C14D3" w:rsidRDefault="0010065C" w:rsidP="009D1474">
      <w:pPr>
        <w:pStyle w:val="p3"/>
        <w:rPr>
          <w:color w:val="000000"/>
        </w:rPr>
      </w:pPr>
      <w:r w:rsidRPr="0010065C">
        <w:rPr>
          <w:color w:val="000000"/>
        </w:rPr>
        <w:t xml:space="preserve">In the Conflict Escalation stage, the partial dependence plots in Figure 3.2 illustrate that the most influential predictors tend to exhibit declining effects on the probability of escalation. Both GDP per capita and democracy display a negative relationship with escalation: as economic development and </w:t>
      </w:r>
      <w:r w:rsidR="00A25D53" w:rsidRPr="0010065C">
        <w:rPr>
          <w:color w:val="000000"/>
        </w:rPr>
        <w:t>democra</w:t>
      </w:r>
      <w:r w:rsidR="00A25D53">
        <w:rPr>
          <w:color w:val="000000"/>
        </w:rPr>
        <w:t xml:space="preserve">cy scores </w:t>
      </w:r>
      <w:r w:rsidR="00566060" w:rsidRPr="0010065C">
        <w:rPr>
          <w:color w:val="000000"/>
        </w:rPr>
        <w:t>increase;</w:t>
      </w:r>
      <w:r w:rsidRPr="0010065C">
        <w:rPr>
          <w:color w:val="000000"/>
        </w:rPr>
        <w:t xml:space="preserve"> the predicted likelihood of conflict escalation decreases. This suggests that violent escalation is more likely to occur in contexts characterized by weak democratic institutions and low levels of economic development. When compared to the Conflict Onset stage—where higher GDP per capita and stronger </w:t>
      </w:r>
      <w:r w:rsidR="00566060" w:rsidRPr="0010065C">
        <w:rPr>
          <w:color w:val="000000"/>
        </w:rPr>
        <w:t>democra</w:t>
      </w:r>
      <w:r w:rsidR="00566060">
        <w:rPr>
          <w:color w:val="000000"/>
        </w:rPr>
        <w:t xml:space="preserve">cy scores </w:t>
      </w:r>
      <w:r w:rsidRPr="0010065C">
        <w:rPr>
          <w:color w:val="000000"/>
        </w:rPr>
        <w:t xml:space="preserve">were associated with a greater likelihood of nonviolent mobilization—an important distinction </w:t>
      </w:r>
      <w:r w:rsidR="009D1474" w:rsidRPr="0010065C">
        <w:rPr>
          <w:color w:val="000000"/>
        </w:rPr>
        <w:t>emerges</w:t>
      </w:r>
      <w:r w:rsidR="00566060">
        <w:rPr>
          <w:color w:val="000000"/>
        </w:rPr>
        <w:t xml:space="preserve">, that is, </w:t>
      </w:r>
      <w:r w:rsidRPr="0010065C">
        <w:rPr>
          <w:color w:val="000000"/>
        </w:rPr>
        <w:t>nonviolent onset is more likely in developed settings, while violent escalation tends to occur in more autocratic</w:t>
      </w:r>
      <w:r w:rsidR="00566060">
        <w:rPr>
          <w:color w:val="000000"/>
        </w:rPr>
        <w:t xml:space="preserve"> and</w:t>
      </w:r>
      <w:r w:rsidRPr="0010065C">
        <w:rPr>
          <w:color w:val="000000"/>
        </w:rPr>
        <w:t xml:space="preserve"> economically underdeveloped environments. Population remains relatively stable in its effect until reaching very high levels, at which point the probability of escalation increases. The number of relevant groups exhibits a non-linear and inconclusive pattern, making its role less straightforward to interpret. Finally, the Cold War era shows a strong association with increased escalation risk, suggesting that separatist movements were more prone to turn violent during that </w:t>
      </w:r>
      <w:r w:rsidR="00D63AD6">
        <w:rPr>
          <w:color w:val="000000"/>
        </w:rPr>
        <w:t>post-Cold War period</w:t>
      </w:r>
      <w:r w:rsidR="009D1474" w:rsidRPr="0010065C">
        <w:rPr>
          <w:color w:val="000000"/>
        </w:rPr>
        <w:t>.</w:t>
      </w:r>
      <w:r w:rsidR="009D1474">
        <w:rPr>
          <w:color w:val="000000"/>
        </w:rPr>
        <w:t xml:space="preserve"> As these partial plots</w:t>
      </w:r>
      <w:r w:rsidR="00D63AD6">
        <w:rPr>
          <w:color w:val="000000"/>
        </w:rPr>
        <w:t xml:space="preserve"> shows</w:t>
      </w:r>
      <w:r w:rsidR="009D1474">
        <w:rPr>
          <w:color w:val="000000"/>
        </w:rPr>
        <w:t xml:space="preserve">, both prediction of onset and escalation are driven by different mechanisms. </w:t>
      </w:r>
    </w:p>
    <w:p w14:paraId="62471136" w14:textId="0C84C7A2" w:rsidR="00833B20" w:rsidRPr="00EA1434" w:rsidRDefault="00EA1434" w:rsidP="00EA1434">
      <w:pPr>
        <w:pStyle w:val="Heading3"/>
        <w:jc w:val="center"/>
        <w:rPr>
          <w:rFonts w:ascii="Times New Roman" w:hAnsi="Times New Roman" w:cs="Times New Roman"/>
          <w:b/>
          <w:bCs/>
          <w:color w:val="000000" w:themeColor="text1"/>
          <w:sz w:val="24"/>
          <w:szCs w:val="24"/>
        </w:rPr>
      </w:pPr>
      <w:r w:rsidRPr="00C3649C">
        <w:rPr>
          <w:rFonts w:ascii="Times New Roman" w:hAnsi="Times New Roman" w:cs="Times New Roman"/>
          <w:b/>
          <w:bCs/>
          <w:color w:val="000000" w:themeColor="text1"/>
          <w:sz w:val="24"/>
          <w:szCs w:val="24"/>
        </w:rPr>
        <w:t>Figure 3.</w:t>
      </w:r>
      <w:r>
        <w:rPr>
          <w:rFonts w:ascii="Times New Roman" w:hAnsi="Times New Roman" w:cs="Times New Roman"/>
          <w:b/>
          <w:bCs/>
          <w:color w:val="000000" w:themeColor="text1"/>
          <w:sz w:val="24"/>
          <w:szCs w:val="24"/>
        </w:rPr>
        <w:t>2</w:t>
      </w:r>
      <w:r w:rsidRPr="00C3649C">
        <w:rPr>
          <w:rFonts w:ascii="Times New Roman" w:hAnsi="Times New Roman" w:cs="Times New Roman"/>
          <w:b/>
          <w:bCs/>
          <w:color w:val="000000" w:themeColor="text1"/>
          <w:sz w:val="24"/>
          <w:szCs w:val="24"/>
        </w:rPr>
        <w:t xml:space="preserve"> Partial Dependence of Top 5 Predictors-Conflict </w:t>
      </w:r>
      <w:r>
        <w:rPr>
          <w:rFonts w:ascii="Times New Roman" w:hAnsi="Times New Roman" w:cs="Times New Roman"/>
          <w:b/>
          <w:bCs/>
          <w:color w:val="000000" w:themeColor="text1"/>
          <w:sz w:val="24"/>
          <w:szCs w:val="24"/>
        </w:rPr>
        <w:t>Escalation</w:t>
      </w:r>
    </w:p>
    <w:p w14:paraId="11FEB06F" w14:textId="0B381549" w:rsidR="00933AC8" w:rsidRPr="00A47474" w:rsidRDefault="00920B60" w:rsidP="00685B75">
      <w:pPr>
        <w:spacing w:before="100" w:beforeAutospacing="1" w:after="100" w:afterAutospacing="1" w:line="240" w:lineRule="auto"/>
        <w:rPr>
          <w:rFonts w:ascii="Times New Roman" w:eastAsia="Times New Roman" w:hAnsi="Times New Roman" w:cs="Times New Roman"/>
          <w:color w:val="000000"/>
          <w:kern w:val="0"/>
          <w14:ligatures w14:val="none"/>
        </w:rPr>
      </w:pPr>
      <w:r w:rsidRPr="00920B60">
        <w:rPr>
          <w:rFonts w:ascii="Times New Roman" w:eastAsia="Times New Roman" w:hAnsi="Times New Roman" w:cs="Times New Roman"/>
          <w:noProof/>
          <w:color w:val="000000"/>
          <w:kern w:val="0"/>
          <w14:ligatures w14:val="none"/>
        </w:rPr>
        <w:drawing>
          <wp:inline distT="0" distB="0" distL="0" distR="0" wp14:anchorId="01954D77" wp14:editId="74B5B59F">
            <wp:extent cx="5943600" cy="3328035"/>
            <wp:effectExtent l="0" t="0" r="0" b="0"/>
            <wp:docPr id="479535014" name="Picture 1" descr="A graph of a graph showing the difference between a war and a w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5014" name="Picture 1" descr="A graph of a graph showing the difference between a war and a war&#10;&#10;AI-generated content may be incorrect."/>
                    <pic:cNvPicPr/>
                  </pic:nvPicPr>
                  <pic:blipFill>
                    <a:blip r:embed="rId13"/>
                    <a:stretch>
                      <a:fillRect/>
                    </a:stretch>
                  </pic:blipFill>
                  <pic:spPr>
                    <a:xfrm>
                      <a:off x="0" y="0"/>
                      <a:ext cx="5943600" cy="3328035"/>
                    </a:xfrm>
                    <a:prstGeom prst="rect">
                      <a:avLst/>
                    </a:prstGeom>
                  </pic:spPr>
                </pic:pic>
              </a:graphicData>
            </a:graphic>
          </wp:inline>
        </w:drawing>
      </w:r>
    </w:p>
    <w:p w14:paraId="6083715E" w14:textId="52DE2B89" w:rsidR="002B485E" w:rsidRDefault="002B485E" w:rsidP="00D3644A">
      <w:pPr>
        <w:pStyle w:val="p1"/>
        <w:rPr>
          <w:b/>
          <w:bCs/>
          <w:color w:val="000000" w:themeColor="text1"/>
        </w:rPr>
      </w:pPr>
    </w:p>
    <w:p w14:paraId="749E30C1" w14:textId="29F05DAD" w:rsidR="00A47474" w:rsidRPr="00A47474" w:rsidRDefault="00A47474" w:rsidP="0055327D">
      <w:pPr>
        <w:spacing w:after="0"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b/>
          <w:bCs/>
          <w:color w:val="000000"/>
          <w:kern w:val="0"/>
          <w14:ligatures w14:val="none"/>
        </w:rPr>
        <w:t>Discussion</w:t>
      </w:r>
    </w:p>
    <w:p w14:paraId="73C13F3E" w14:textId="7F233577" w:rsidR="00A47474" w:rsidRPr="00A47474" w:rsidRDefault="00A47474"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color w:val="000000"/>
          <w:kern w:val="0"/>
          <w14:ligatures w14:val="none"/>
        </w:rPr>
        <w:t xml:space="preserve">These findings address three persistent ambiguities in the study of </w:t>
      </w:r>
      <w:r w:rsidR="0008464F">
        <w:rPr>
          <w:rFonts w:ascii="Times New Roman" w:eastAsia="Times New Roman" w:hAnsi="Times New Roman" w:cs="Times New Roman"/>
          <w:color w:val="000000"/>
          <w:kern w:val="0"/>
          <w14:ligatures w14:val="none"/>
        </w:rPr>
        <w:t>many political phenomena</w:t>
      </w:r>
      <w:r w:rsidRPr="00A47474">
        <w:rPr>
          <w:rFonts w:ascii="Times New Roman" w:eastAsia="Times New Roman" w:hAnsi="Times New Roman" w:cs="Times New Roman"/>
          <w:color w:val="000000"/>
          <w:kern w:val="0"/>
          <w14:ligatures w14:val="none"/>
        </w:rPr>
        <w:t>: the stage-specificity of mechanisms, the role of machine learning in theory testing, and the gap between statistical significance and predictive generalization.</w:t>
      </w:r>
    </w:p>
    <w:p w14:paraId="4E997B20" w14:textId="7C483934" w:rsidR="00786639" w:rsidRDefault="00DB445B" w:rsidP="00A7651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First, a</w:t>
      </w:r>
      <w:r w:rsidR="0008464F">
        <w:rPr>
          <w:rFonts w:ascii="Times New Roman" w:eastAsia="Times New Roman" w:hAnsi="Times New Roman" w:cs="Times New Roman"/>
          <w:color w:val="000000"/>
          <w:kern w:val="0"/>
          <w14:ligatures w14:val="none"/>
        </w:rPr>
        <w:t xml:space="preserve">pplied to the problem of </w:t>
      </w:r>
      <w:r w:rsidR="0008464F" w:rsidRPr="00A47474">
        <w:rPr>
          <w:rFonts w:ascii="Times New Roman" w:eastAsia="Times New Roman" w:hAnsi="Times New Roman" w:cs="Times New Roman"/>
          <w:color w:val="000000"/>
          <w:kern w:val="0"/>
          <w14:ligatures w14:val="none"/>
        </w:rPr>
        <w:t>self-determination conflict</w:t>
      </w:r>
      <w:r w:rsidR="0008464F">
        <w:rPr>
          <w:rFonts w:ascii="Times New Roman" w:eastAsia="Times New Roman" w:hAnsi="Times New Roman" w:cs="Times New Roman"/>
          <w:color w:val="000000"/>
          <w:kern w:val="0"/>
          <w14:ligatures w14:val="none"/>
        </w:rPr>
        <w:t>,</w:t>
      </w:r>
      <w:r w:rsidR="00786639" w:rsidRPr="00786639">
        <w:rPr>
          <w:rFonts w:ascii="Times New Roman" w:eastAsia="Times New Roman" w:hAnsi="Times New Roman" w:cs="Times New Roman"/>
          <w:color w:val="000000"/>
          <w:kern w:val="0"/>
          <w14:ligatures w14:val="none"/>
        </w:rPr>
        <w:t xml:space="preserve"> the results underscore a critical insight: conflict onset and conflict escalation </w:t>
      </w:r>
      <w:r w:rsidR="00652C77">
        <w:rPr>
          <w:rFonts w:ascii="Times New Roman" w:eastAsia="Times New Roman" w:hAnsi="Times New Roman" w:cs="Times New Roman"/>
          <w:color w:val="000000"/>
          <w:kern w:val="0"/>
          <w14:ligatures w14:val="none"/>
        </w:rPr>
        <w:t>might be</w:t>
      </w:r>
      <w:r w:rsidR="00786639" w:rsidRPr="00786639">
        <w:rPr>
          <w:rFonts w:ascii="Times New Roman" w:eastAsia="Times New Roman" w:hAnsi="Times New Roman" w:cs="Times New Roman"/>
          <w:color w:val="000000"/>
          <w:kern w:val="0"/>
          <w14:ligatures w14:val="none"/>
        </w:rPr>
        <w:t xml:space="preserve"> driven by distinct underlying mechanisms. </w:t>
      </w:r>
      <w:r w:rsidR="00FF560C">
        <w:rPr>
          <w:rFonts w:ascii="Times New Roman" w:eastAsia="Times New Roman" w:hAnsi="Times New Roman" w:cs="Times New Roman"/>
          <w:color w:val="000000"/>
          <w:kern w:val="0"/>
          <w14:ligatures w14:val="none"/>
        </w:rPr>
        <w:t>While the</w:t>
      </w:r>
      <w:r w:rsidR="00786639" w:rsidRPr="00786639">
        <w:rPr>
          <w:rFonts w:ascii="Times New Roman" w:eastAsia="Times New Roman" w:hAnsi="Times New Roman" w:cs="Times New Roman"/>
          <w:color w:val="000000"/>
          <w:kern w:val="0"/>
          <w14:ligatures w14:val="none"/>
        </w:rPr>
        <w:t xml:space="preserve"> </w:t>
      </w:r>
      <w:r w:rsidR="00786639">
        <w:rPr>
          <w:rFonts w:ascii="Times New Roman" w:eastAsia="Times New Roman" w:hAnsi="Times New Roman" w:cs="Times New Roman"/>
          <w:color w:val="000000"/>
          <w:kern w:val="0"/>
          <w14:ligatures w14:val="none"/>
        </w:rPr>
        <w:t>findings</w:t>
      </w:r>
      <w:r w:rsidR="00786639" w:rsidRPr="00786639">
        <w:rPr>
          <w:rFonts w:ascii="Times New Roman" w:eastAsia="Times New Roman" w:hAnsi="Times New Roman" w:cs="Times New Roman"/>
          <w:color w:val="000000"/>
          <w:kern w:val="0"/>
          <w14:ligatures w14:val="none"/>
        </w:rPr>
        <w:t xml:space="preserve"> reveal that the predictive power of </w:t>
      </w:r>
      <w:r w:rsidR="00652C77">
        <w:rPr>
          <w:rFonts w:ascii="Times New Roman" w:eastAsia="Times New Roman" w:hAnsi="Times New Roman" w:cs="Times New Roman"/>
          <w:color w:val="000000"/>
          <w:kern w:val="0"/>
          <w14:ligatures w14:val="none"/>
        </w:rPr>
        <w:t xml:space="preserve">individual </w:t>
      </w:r>
      <w:r w:rsidR="00786639" w:rsidRPr="00786639">
        <w:rPr>
          <w:rFonts w:ascii="Times New Roman" w:eastAsia="Times New Roman" w:hAnsi="Times New Roman" w:cs="Times New Roman"/>
          <w:color w:val="000000"/>
          <w:kern w:val="0"/>
          <w14:ligatures w14:val="none"/>
        </w:rPr>
        <w:t xml:space="preserve">theoretical models </w:t>
      </w:r>
      <w:r w:rsidR="00FF560C">
        <w:rPr>
          <w:rFonts w:ascii="Times New Roman" w:eastAsia="Times New Roman" w:hAnsi="Times New Roman" w:cs="Times New Roman"/>
          <w:color w:val="000000"/>
          <w:kern w:val="0"/>
          <w14:ligatures w14:val="none"/>
        </w:rPr>
        <w:t>do not vary</w:t>
      </w:r>
      <w:r w:rsidR="00786639" w:rsidRPr="00786639">
        <w:rPr>
          <w:rFonts w:ascii="Times New Roman" w:eastAsia="Times New Roman" w:hAnsi="Times New Roman" w:cs="Times New Roman"/>
          <w:color w:val="000000"/>
          <w:kern w:val="0"/>
          <w14:ligatures w14:val="none"/>
        </w:rPr>
        <w:t xml:space="preserve"> substantially </w:t>
      </w:r>
      <w:r w:rsidR="009B67DC">
        <w:rPr>
          <w:rFonts w:ascii="Times New Roman" w:eastAsia="Times New Roman" w:hAnsi="Times New Roman" w:cs="Times New Roman"/>
          <w:color w:val="000000"/>
          <w:kern w:val="0"/>
          <w14:ligatures w14:val="none"/>
        </w:rPr>
        <w:t xml:space="preserve">within and </w:t>
      </w:r>
      <w:r w:rsidR="00786639" w:rsidRPr="00786639">
        <w:rPr>
          <w:rFonts w:ascii="Times New Roman" w:eastAsia="Times New Roman" w:hAnsi="Times New Roman" w:cs="Times New Roman"/>
          <w:color w:val="000000"/>
          <w:kern w:val="0"/>
          <w14:ligatures w14:val="none"/>
        </w:rPr>
        <w:t>across stages</w:t>
      </w:r>
      <w:r w:rsidR="00FF560C">
        <w:rPr>
          <w:rFonts w:ascii="Times New Roman" w:eastAsia="Times New Roman" w:hAnsi="Times New Roman" w:cs="Times New Roman"/>
          <w:color w:val="000000"/>
          <w:kern w:val="0"/>
          <w14:ligatures w14:val="none"/>
        </w:rPr>
        <w:t xml:space="preserve">, </w:t>
      </w:r>
      <w:r w:rsidR="00652C77">
        <w:rPr>
          <w:rFonts w:ascii="Times New Roman" w:eastAsia="Times New Roman" w:hAnsi="Times New Roman" w:cs="Times New Roman"/>
          <w:color w:val="000000"/>
          <w:kern w:val="0"/>
          <w14:ligatures w14:val="none"/>
        </w:rPr>
        <w:t>the</w:t>
      </w:r>
      <w:r w:rsidR="00FF560C">
        <w:rPr>
          <w:rFonts w:ascii="Times New Roman" w:eastAsia="Times New Roman" w:hAnsi="Times New Roman" w:cs="Times New Roman"/>
          <w:color w:val="000000"/>
          <w:kern w:val="0"/>
          <w14:ligatures w14:val="none"/>
        </w:rPr>
        <w:t xml:space="preserve"> interaction</w:t>
      </w:r>
      <w:r w:rsidR="0051709D">
        <w:rPr>
          <w:rFonts w:ascii="Times New Roman" w:eastAsia="Times New Roman" w:hAnsi="Times New Roman" w:cs="Times New Roman"/>
          <w:color w:val="000000"/>
          <w:kern w:val="0"/>
          <w14:ligatures w14:val="none"/>
        </w:rPr>
        <w:t xml:space="preserve"> models</w:t>
      </w:r>
      <w:r w:rsidR="00FF560C">
        <w:rPr>
          <w:rFonts w:ascii="Times New Roman" w:eastAsia="Times New Roman" w:hAnsi="Times New Roman" w:cs="Times New Roman"/>
          <w:color w:val="000000"/>
          <w:kern w:val="0"/>
          <w14:ligatures w14:val="none"/>
        </w:rPr>
        <w:t xml:space="preserve"> and variable importances shows </w:t>
      </w:r>
      <w:r w:rsidR="0051709D">
        <w:rPr>
          <w:rFonts w:ascii="Times New Roman" w:eastAsia="Times New Roman" w:hAnsi="Times New Roman" w:cs="Times New Roman"/>
          <w:color w:val="000000"/>
          <w:kern w:val="0"/>
          <w14:ligatures w14:val="none"/>
        </w:rPr>
        <w:t>different mechanisms</w:t>
      </w:r>
      <w:r w:rsidR="00652C77">
        <w:rPr>
          <w:rFonts w:ascii="Times New Roman" w:eastAsia="Times New Roman" w:hAnsi="Times New Roman" w:cs="Times New Roman"/>
          <w:color w:val="000000"/>
          <w:kern w:val="0"/>
          <w14:ligatures w14:val="none"/>
        </w:rPr>
        <w:t xml:space="preserve"> </w:t>
      </w:r>
      <w:r w:rsidR="00786639" w:rsidRPr="00786639">
        <w:rPr>
          <w:rFonts w:ascii="Times New Roman" w:eastAsia="Times New Roman" w:hAnsi="Times New Roman" w:cs="Times New Roman"/>
          <w:color w:val="000000"/>
          <w:kern w:val="0"/>
          <w14:ligatures w14:val="none"/>
        </w:rPr>
        <w:t xml:space="preserve">in </w:t>
      </w:r>
      <w:r w:rsidR="0051709D">
        <w:rPr>
          <w:rFonts w:ascii="Times New Roman" w:eastAsia="Times New Roman" w:hAnsi="Times New Roman" w:cs="Times New Roman"/>
          <w:color w:val="000000"/>
          <w:kern w:val="0"/>
          <w14:ligatures w14:val="none"/>
        </w:rPr>
        <w:t>predicting</w:t>
      </w:r>
      <w:r w:rsidR="00786639" w:rsidRPr="00786639">
        <w:rPr>
          <w:rFonts w:ascii="Times New Roman" w:eastAsia="Times New Roman" w:hAnsi="Times New Roman" w:cs="Times New Roman"/>
          <w:color w:val="000000"/>
          <w:kern w:val="0"/>
          <w14:ligatures w14:val="none"/>
        </w:rPr>
        <w:t xml:space="preserve"> the onset of nonviolent conflict </w:t>
      </w:r>
      <w:r w:rsidR="0051709D">
        <w:rPr>
          <w:rFonts w:ascii="Times New Roman" w:eastAsia="Times New Roman" w:hAnsi="Times New Roman" w:cs="Times New Roman"/>
          <w:color w:val="000000"/>
          <w:kern w:val="0"/>
          <w14:ligatures w14:val="none"/>
        </w:rPr>
        <w:t xml:space="preserve">and </w:t>
      </w:r>
      <w:r w:rsidR="00786639" w:rsidRPr="00786639">
        <w:rPr>
          <w:rFonts w:ascii="Times New Roman" w:eastAsia="Times New Roman" w:hAnsi="Times New Roman" w:cs="Times New Roman"/>
          <w:color w:val="000000"/>
          <w:kern w:val="0"/>
          <w14:ligatures w14:val="none"/>
        </w:rPr>
        <w:t xml:space="preserve">its escalation into violence. </w:t>
      </w:r>
      <w:r w:rsidR="0051709D">
        <w:rPr>
          <w:rFonts w:ascii="Times New Roman" w:eastAsia="Times New Roman" w:hAnsi="Times New Roman" w:cs="Times New Roman"/>
          <w:color w:val="000000"/>
          <w:kern w:val="0"/>
          <w14:ligatures w14:val="none"/>
        </w:rPr>
        <w:t xml:space="preserve">Overall, a consistent pattern of the findings is that political </w:t>
      </w:r>
      <w:r w:rsidR="000F5F5B">
        <w:rPr>
          <w:rFonts w:ascii="Times New Roman" w:eastAsia="Times New Roman" w:hAnsi="Times New Roman" w:cs="Times New Roman"/>
          <w:color w:val="000000"/>
          <w:kern w:val="0"/>
          <w14:ligatures w14:val="none"/>
        </w:rPr>
        <w:t>opportunity and</w:t>
      </w:r>
      <w:r w:rsidR="005E67B6">
        <w:rPr>
          <w:rFonts w:ascii="Times New Roman" w:eastAsia="Times New Roman" w:hAnsi="Times New Roman" w:cs="Times New Roman"/>
          <w:color w:val="000000"/>
          <w:kern w:val="0"/>
          <w14:ligatures w14:val="none"/>
        </w:rPr>
        <w:t xml:space="preserve"> resources mobilization </w:t>
      </w:r>
      <w:r w:rsidR="0051709D">
        <w:rPr>
          <w:rFonts w:ascii="Times New Roman" w:eastAsia="Times New Roman" w:hAnsi="Times New Roman" w:cs="Times New Roman"/>
          <w:color w:val="000000"/>
          <w:kern w:val="0"/>
          <w14:ligatures w14:val="none"/>
        </w:rPr>
        <w:t>models</w:t>
      </w:r>
      <w:r w:rsidR="005E67B6">
        <w:rPr>
          <w:rFonts w:ascii="Times New Roman" w:eastAsia="Times New Roman" w:hAnsi="Times New Roman" w:cs="Times New Roman"/>
          <w:color w:val="000000"/>
          <w:kern w:val="0"/>
          <w14:ligatures w14:val="none"/>
        </w:rPr>
        <w:t xml:space="preserve"> along </w:t>
      </w:r>
      <w:r w:rsidR="009B67DC">
        <w:rPr>
          <w:rFonts w:ascii="Times New Roman" w:eastAsia="Times New Roman" w:hAnsi="Times New Roman" w:cs="Times New Roman"/>
          <w:color w:val="000000"/>
          <w:kern w:val="0"/>
          <w14:ligatures w14:val="none"/>
        </w:rPr>
        <w:t>or</w:t>
      </w:r>
      <w:r w:rsidR="005E67B6">
        <w:rPr>
          <w:rFonts w:ascii="Times New Roman" w:eastAsia="Times New Roman" w:hAnsi="Times New Roman" w:cs="Times New Roman"/>
          <w:color w:val="000000"/>
          <w:kern w:val="0"/>
          <w14:ligatures w14:val="none"/>
        </w:rPr>
        <w:t xml:space="preserve"> in combination with each other</w:t>
      </w:r>
      <w:r w:rsidR="0051709D">
        <w:rPr>
          <w:rFonts w:ascii="Times New Roman" w:eastAsia="Times New Roman" w:hAnsi="Times New Roman" w:cs="Times New Roman"/>
          <w:color w:val="000000"/>
          <w:kern w:val="0"/>
          <w14:ligatures w14:val="none"/>
        </w:rPr>
        <w:t xml:space="preserve"> </w:t>
      </w:r>
      <w:r w:rsidR="00D3422E">
        <w:rPr>
          <w:rFonts w:ascii="Times New Roman" w:eastAsia="Times New Roman" w:hAnsi="Times New Roman" w:cs="Times New Roman"/>
          <w:color w:val="000000"/>
          <w:kern w:val="0"/>
          <w14:ligatures w14:val="none"/>
        </w:rPr>
        <w:t>performs</w:t>
      </w:r>
      <w:r w:rsidR="0051709D">
        <w:rPr>
          <w:rFonts w:ascii="Times New Roman" w:eastAsia="Times New Roman" w:hAnsi="Times New Roman" w:cs="Times New Roman"/>
          <w:color w:val="000000"/>
          <w:kern w:val="0"/>
          <w14:ligatures w14:val="none"/>
        </w:rPr>
        <w:t xml:space="preserve"> better in predicting both stages tha</w:t>
      </w:r>
      <w:r w:rsidR="000F5F5B">
        <w:rPr>
          <w:rFonts w:ascii="Times New Roman" w:eastAsia="Times New Roman" w:hAnsi="Times New Roman" w:cs="Times New Roman"/>
          <w:color w:val="000000"/>
          <w:kern w:val="0"/>
          <w14:ligatures w14:val="none"/>
        </w:rPr>
        <w:t>n</w:t>
      </w:r>
      <w:r w:rsidR="0051709D">
        <w:rPr>
          <w:rFonts w:ascii="Times New Roman" w:eastAsia="Times New Roman" w:hAnsi="Times New Roman" w:cs="Times New Roman"/>
          <w:color w:val="000000"/>
          <w:kern w:val="0"/>
          <w14:ligatures w14:val="none"/>
        </w:rPr>
        <w:t xml:space="preserve"> </w:t>
      </w:r>
      <w:r w:rsidR="00D3422E">
        <w:rPr>
          <w:rFonts w:ascii="Times New Roman" w:eastAsia="Times New Roman" w:hAnsi="Times New Roman" w:cs="Times New Roman"/>
          <w:color w:val="000000"/>
          <w:kern w:val="0"/>
          <w14:ligatures w14:val="none"/>
        </w:rPr>
        <w:t>grievance-based models</w:t>
      </w:r>
      <w:r w:rsidR="000F5F5B">
        <w:rPr>
          <w:rFonts w:ascii="Times New Roman" w:eastAsia="Times New Roman" w:hAnsi="Times New Roman" w:cs="Times New Roman"/>
          <w:color w:val="000000"/>
          <w:kern w:val="0"/>
          <w14:ligatures w14:val="none"/>
        </w:rPr>
        <w:t xml:space="preserve"> that recently has been empathized more (German &amp; Sambanis 2021)</w:t>
      </w:r>
      <w:r w:rsidR="00D3422E">
        <w:rPr>
          <w:rFonts w:ascii="Times New Roman" w:eastAsia="Times New Roman" w:hAnsi="Times New Roman" w:cs="Times New Roman"/>
          <w:color w:val="000000"/>
          <w:kern w:val="0"/>
          <w14:ligatures w14:val="none"/>
        </w:rPr>
        <w:t xml:space="preserve">. </w:t>
      </w:r>
      <w:r w:rsidR="00786639" w:rsidRPr="00786639">
        <w:rPr>
          <w:rFonts w:ascii="Times New Roman" w:eastAsia="Times New Roman" w:hAnsi="Times New Roman" w:cs="Times New Roman"/>
          <w:color w:val="000000"/>
          <w:kern w:val="0"/>
          <w14:ligatures w14:val="none"/>
        </w:rPr>
        <w:t xml:space="preserve">This asymmetry is largely underexplored in the literature, where </w:t>
      </w:r>
      <w:r w:rsidR="00132DB9">
        <w:rPr>
          <w:rFonts w:ascii="Times New Roman" w:eastAsia="Times New Roman" w:hAnsi="Times New Roman" w:cs="Times New Roman"/>
          <w:color w:val="000000"/>
          <w:kern w:val="0"/>
          <w14:ligatures w14:val="none"/>
        </w:rPr>
        <w:t xml:space="preserve">such </w:t>
      </w:r>
      <w:r w:rsidR="00786639" w:rsidRPr="00786639">
        <w:rPr>
          <w:rFonts w:ascii="Times New Roman" w:eastAsia="Times New Roman" w:hAnsi="Times New Roman" w:cs="Times New Roman"/>
          <w:color w:val="000000"/>
          <w:kern w:val="0"/>
          <w14:ligatures w14:val="none"/>
        </w:rPr>
        <w:t xml:space="preserve">theoretical frameworks are rarely evaluated in terms of their stage-specific predictive capacity. Most prior studies either treat conflict as a singular, undifferentiated process, or focus on isolated indicators rather than testing the combined predictive validity of </w:t>
      </w:r>
      <w:r w:rsidR="0008464F">
        <w:rPr>
          <w:rFonts w:ascii="Times New Roman" w:eastAsia="Times New Roman" w:hAnsi="Times New Roman" w:cs="Times New Roman"/>
          <w:color w:val="000000"/>
          <w:kern w:val="0"/>
          <w14:ligatures w14:val="none"/>
        </w:rPr>
        <w:t>more complete</w:t>
      </w:r>
      <w:r w:rsidR="0008464F" w:rsidRPr="00786639">
        <w:rPr>
          <w:rFonts w:ascii="Times New Roman" w:eastAsia="Times New Roman" w:hAnsi="Times New Roman" w:cs="Times New Roman"/>
          <w:color w:val="000000"/>
          <w:kern w:val="0"/>
          <w14:ligatures w14:val="none"/>
        </w:rPr>
        <w:t xml:space="preserve"> </w:t>
      </w:r>
      <w:r w:rsidR="00786639" w:rsidRPr="00786639">
        <w:rPr>
          <w:rFonts w:ascii="Times New Roman" w:eastAsia="Times New Roman" w:hAnsi="Times New Roman" w:cs="Times New Roman"/>
          <w:color w:val="000000"/>
          <w:kern w:val="0"/>
          <w14:ligatures w14:val="none"/>
        </w:rPr>
        <w:t>theoretical models.</w:t>
      </w:r>
    </w:p>
    <w:p w14:paraId="6DC73935" w14:textId="600160A2" w:rsidR="003904CC" w:rsidRPr="00967AB8" w:rsidRDefault="00E521A6" w:rsidP="00967AB8">
      <w:pPr>
        <w:pStyle w:val="p1"/>
        <w:rPr>
          <w:color w:val="000000"/>
        </w:rPr>
      </w:pPr>
      <w:r w:rsidRPr="00E521A6">
        <w:rPr>
          <w:color w:val="000000"/>
        </w:rPr>
        <w:t xml:space="preserve">Second, this study demonstrates that machine learning </w:t>
      </w:r>
      <w:r w:rsidR="0008464F">
        <w:rPr>
          <w:color w:val="000000"/>
        </w:rPr>
        <w:t xml:space="preserve">can </w:t>
      </w:r>
      <w:r w:rsidRPr="00E521A6">
        <w:rPr>
          <w:color w:val="000000"/>
        </w:rPr>
        <w:t>enhance</w:t>
      </w:r>
      <w:r w:rsidR="0008464F" w:rsidRPr="00E521A6" w:rsidDel="0008464F">
        <w:rPr>
          <w:color w:val="000000"/>
        </w:rPr>
        <w:t xml:space="preserve"> </w:t>
      </w:r>
      <w:r w:rsidRPr="00E521A6">
        <w:rPr>
          <w:color w:val="000000"/>
        </w:rPr>
        <w:t xml:space="preserve">theory testing. The application of Random Forest, a sophisticated ensemble learning method, not only delivers superior predictive accuracy but also reveals important nonlinear patterns and interaction effects. </w:t>
      </w:r>
      <w:r w:rsidR="0008464F">
        <w:rPr>
          <w:color w:val="000000"/>
        </w:rPr>
        <w:t>Compared to</w:t>
      </w:r>
      <w:r w:rsidR="0008464F" w:rsidRPr="00E521A6">
        <w:rPr>
          <w:color w:val="000000"/>
        </w:rPr>
        <w:t xml:space="preserve"> </w:t>
      </w:r>
      <w:r w:rsidRPr="00E521A6">
        <w:rPr>
          <w:color w:val="000000"/>
        </w:rPr>
        <w:t xml:space="preserve">traditional approaches such as logistic regression, Random Forest is better equipped to capture the complex, conditional dynamics that characterize real-world conflict processes. Crucially, this </w:t>
      </w:r>
      <w:r w:rsidR="0008464F">
        <w:rPr>
          <w:color w:val="000000"/>
        </w:rPr>
        <w:t>approach</w:t>
      </w:r>
      <w:r w:rsidR="0008464F" w:rsidRPr="00E521A6">
        <w:rPr>
          <w:color w:val="000000"/>
        </w:rPr>
        <w:t xml:space="preserve"> </w:t>
      </w:r>
      <w:r w:rsidR="0008464F">
        <w:rPr>
          <w:color w:val="000000"/>
        </w:rPr>
        <w:t>moves</w:t>
      </w:r>
      <w:r w:rsidR="0008464F" w:rsidRPr="00E521A6">
        <w:rPr>
          <w:color w:val="000000"/>
        </w:rPr>
        <w:t xml:space="preserve"> </w:t>
      </w:r>
      <w:r w:rsidRPr="00E521A6">
        <w:rPr>
          <w:color w:val="000000"/>
        </w:rPr>
        <w:t>us beyond testing whether individual variables</w:t>
      </w:r>
      <w:r w:rsidR="0008464F">
        <w:rPr>
          <w:color w:val="000000"/>
        </w:rPr>
        <w:t xml:space="preserve"> </w:t>
      </w:r>
      <w:r w:rsidRPr="00E521A6">
        <w:rPr>
          <w:color w:val="000000"/>
        </w:rPr>
        <w:t>are statistically significant</w:t>
      </w:r>
      <w:r w:rsidR="0008464F">
        <w:rPr>
          <w:color w:val="000000"/>
        </w:rPr>
        <w:t xml:space="preserve"> to </w:t>
      </w:r>
      <w:r w:rsidRPr="00E521A6">
        <w:rPr>
          <w:color w:val="000000"/>
        </w:rPr>
        <w:t xml:space="preserve">a deeper </w:t>
      </w:r>
      <w:r w:rsidR="0008464F">
        <w:rPr>
          <w:color w:val="000000"/>
        </w:rPr>
        <w:t xml:space="preserve">understanding of theory based on an </w:t>
      </w:r>
      <w:r w:rsidRPr="00E521A6">
        <w:rPr>
          <w:color w:val="000000"/>
        </w:rPr>
        <w:t xml:space="preserve">evaluation </w:t>
      </w:r>
      <w:r w:rsidR="00967AB8">
        <w:rPr>
          <w:color w:val="000000"/>
        </w:rPr>
        <w:t xml:space="preserve">of </w:t>
      </w:r>
      <w:r w:rsidRPr="00E521A6">
        <w:rPr>
          <w:color w:val="000000"/>
        </w:rPr>
        <w:t xml:space="preserve">combinations of </w:t>
      </w:r>
      <w:r w:rsidR="0008464F" w:rsidRPr="00E521A6">
        <w:rPr>
          <w:color w:val="000000"/>
        </w:rPr>
        <w:t>hypothe</w:t>
      </w:r>
      <w:r w:rsidR="0008464F">
        <w:rPr>
          <w:color w:val="000000"/>
        </w:rPr>
        <w:t xml:space="preserve">sized </w:t>
      </w:r>
      <w:r w:rsidRPr="00E521A6">
        <w:rPr>
          <w:color w:val="000000"/>
        </w:rPr>
        <w:t>indicators</w:t>
      </w:r>
      <w:r w:rsidR="0008464F">
        <w:rPr>
          <w:color w:val="000000"/>
        </w:rPr>
        <w:t xml:space="preserve"> of </w:t>
      </w:r>
      <w:r w:rsidR="009D0699">
        <w:rPr>
          <w:color w:val="000000"/>
        </w:rPr>
        <w:t>our theories</w:t>
      </w:r>
      <w:r w:rsidR="00967AB8">
        <w:rPr>
          <w:color w:val="000000"/>
        </w:rPr>
        <w:t>.</w:t>
      </w:r>
      <w:r w:rsidRPr="00E521A6">
        <w:rPr>
          <w:color w:val="000000"/>
        </w:rPr>
        <w:t xml:space="preserve"> In doing so, machine learning becomes a powerful tool for theory refinement, helping to identify which constructs are substantively meaningful and which may fall short when subjected to rigorous, data-driven </w:t>
      </w:r>
      <w:r w:rsidR="00967AB8" w:rsidRPr="00E521A6">
        <w:rPr>
          <w:color w:val="000000"/>
        </w:rPr>
        <w:t>scrutiny</w:t>
      </w:r>
      <w:r w:rsidR="00922FBB">
        <w:rPr>
          <w:color w:val="000000"/>
        </w:rPr>
        <w:t xml:space="preserve"> of </w:t>
      </w:r>
      <w:r w:rsidR="009D0699">
        <w:rPr>
          <w:color w:val="000000"/>
        </w:rPr>
        <w:t>multi-stage processes</w:t>
      </w:r>
      <w:r w:rsidR="00967AB8" w:rsidRPr="00E521A6">
        <w:rPr>
          <w:color w:val="000000"/>
        </w:rPr>
        <w:t>.</w:t>
      </w:r>
      <w:r w:rsidR="00967AB8" w:rsidRPr="001A751E">
        <w:t xml:space="preserve"> It</w:t>
      </w:r>
      <w:r w:rsidR="00B57BCC" w:rsidRPr="001A751E">
        <w:t xml:space="preserve"> provides a more robust evaluation of self-determination theories by not merely identifying correlations in past data but also assessing their ability to generalize to future cases. This shift is crucial because it moves the field beyond data-driven </w:t>
      </w:r>
      <w:r w:rsidR="00B57BCC" w:rsidRPr="00CE6D1A">
        <w:rPr>
          <w:i/>
          <w:iCs/>
        </w:rPr>
        <w:t>post hoc</w:t>
      </w:r>
      <w:r w:rsidR="00B57BCC" w:rsidRPr="001A751E">
        <w:t xml:space="preserve"> explanations, aligning theory with prediction and offering stronger external validity. </w:t>
      </w:r>
    </w:p>
    <w:p w14:paraId="6CCE3768" w14:textId="7CD907DC" w:rsidR="00B74497" w:rsidRPr="00B74497" w:rsidRDefault="00B74497" w:rsidP="00F71C2F">
      <w:pPr>
        <w:spacing w:after="0" w:line="240" w:lineRule="auto"/>
        <w:rPr>
          <w:rFonts w:ascii="Times New Roman" w:eastAsia="Times New Roman" w:hAnsi="Times New Roman" w:cs="Times New Roman"/>
          <w:color w:val="000000"/>
          <w:kern w:val="0"/>
          <w14:ligatures w14:val="none"/>
        </w:rPr>
      </w:pPr>
      <w:r w:rsidRPr="00B74497">
        <w:rPr>
          <w:rFonts w:ascii="Times New Roman" w:eastAsia="Times New Roman" w:hAnsi="Times New Roman" w:cs="Times New Roman"/>
          <w:color w:val="000000"/>
          <w:kern w:val="0"/>
          <w14:ligatures w14:val="none"/>
        </w:rPr>
        <w:t xml:space="preserve">Third, the distinction between in-sample fit and out-of-sample predictive performance is not merely technical—it is epistemologically consequential. Theories that exhibit strong associations within the training data but fail to generalize beyond it may be capturing correlates or symptoms of conflict, rather than identifying underlying causal mechanisms. In contrast, models that maintain high predictive accuracy in out-of-sample contexts are more likely to reflect structural regularities that transcend specific </w:t>
      </w:r>
      <w:r w:rsidR="00C751B1">
        <w:rPr>
          <w:rFonts w:ascii="Times New Roman" w:eastAsia="Times New Roman" w:hAnsi="Times New Roman" w:cs="Times New Roman"/>
          <w:color w:val="000000"/>
          <w:kern w:val="0"/>
          <w14:ligatures w14:val="none"/>
        </w:rPr>
        <w:t xml:space="preserve">samples of </w:t>
      </w:r>
      <w:r w:rsidRPr="00B74497">
        <w:rPr>
          <w:rFonts w:ascii="Times New Roman" w:eastAsia="Times New Roman" w:hAnsi="Times New Roman" w:cs="Times New Roman"/>
          <w:color w:val="000000"/>
          <w:kern w:val="0"/>
          <w14:ligatures w14:val="none"/>
        </w:rPr>
        <w:t xml:space="preserve">cases, thereby offering stronger claims to causal inference. </w:t>
      </w:r>
      <w:r w:rsidR="00B560BB">
        <w:rPr>
          <w:rFonts w:ascii="Times New Roman" w:eastAsia="Times New Roman" w:hAnsi="Times New Roman" w:cs="Times New Roman"/>
          <w:color w:val="000000"/>
          <w:kern w:val="0"/>
          <w14:ligatures w14:val="none"/>
        </w:rPr>
        <w:t>We call</w:t>
      </w:r>
      <w:r w:rsidRPr="00B74497">
        <w:rPr>
          <w:rFonts w:ascii="Times New Roman" w:eastAsia="Times New Roman" w:hAnsi="Times New Roman" w:cs="Times New Roman"/>
          <w:color w:val="000000"/>
          <w:kern w:val="0"/>
          <w14:ligatures w14:val="none"/>
        </w:rPr>
        <w:t xml:space="preserve"> for a higher standard of theory evaluation—one that moves beyond retrospective data fit and toward forward-looking, generalizable insights. Importantly, this approach enables stage-specific predictive adjudication, clarifying which theoretical models travel across conflict phases</w:t>
      </w:r>
      <w:r w:rsidR="00C751B1">
        <w:rPr>
          <w:rFonts w:ascii="Times New Roman" w:eastAsia="Times New Roman" w:hAnsi="Times New Roman" w:cs="Times New Roman"/>
          <w:color w:val="000000"/>
          <w:kern w:val="0"/>
          <w14:ligatures w14:val="none"/>
        </w:rPr>
        <w:t>,</w:t>
      </w:r>
      <w:r w:rsidRPr="00B74497">
        <w:rPr>
          <w:rFonts w:ascii="Times New Roman" w:eastAsia="Times New Roman" w:hAnsi="Times New Roman" w:cs="Times New Roman"/>
          <w:color w:val="000000"/>
          <w:kern w:val="0"/>
          <w14:ligatures w14:val="none"/>
        </w:rPr>
        <w:t xml:space="preserve"> and which do not. This not only deepens substantive understanding of conflict dynamics but also highlights the critical importance of model selection for both empirical strategy and theoretical development.</w:t>
      </w:r>
    </w:p>
    <w:p w14:paraId="28846246" w14:textId="77777777" w:rsidR="00B74497" w:rsidRDefault="00B74497" w:rsidP="00F71C2F">
      <w:pPr>
        <w:spacing w:after="0" w:line="240" w:lineRule="auto"/>
        <w:rPr>
          <w:rFonts w:ascii="Times New Roman" w:eastAsia="Times New Roman" w:hAnsi="Times New Roman" w:cs="Times New Roman"/>
          <w:b/>
          <w:bCs/>
          <w:color w:val="000000"/>
          <w:kern w:val="0"/>
          <w14:ligatures w14:val="none"/>
        </w:rPr>
      </w:pPr>
    </w:p>
    <w:p w14:paraId="5A629A5F" w14:textId="73F5672F" w:rsidR="00A47474" w:rsidRPr="00A47474" w:rsidRDefault="00A47474" w:rsidP="00F71C2F">
      <w:pPr>
        <w:spacing w:after="0" w:line="240" w:lineRule="auto"/>
        <w:rPr>
          <w:rFonts w:ascii="Times New Roman" w:eastAsia="Times New Roman" w:hAnsi="Times New Roman" w:cs="Times New Roman"/>
          <w:color w:val="000000"/>
          <w:kern w:val="0"/>
          <w14:ligatures w14:val="none"/>
        </w:rPr>
      </w:pPr>
      <w:r w:rsidRPr="00A47474">
        <w:rPr>
          <w:rFonts w:ascii="Times New Roman" w:eastAsia="Times New Roman" w:hAnsi="Times New Roman" w:cs="Times New Roman"/>
          <w:b/>
          <w:bCs/>
          <w:color w:val="000000"/>
          <w:kern w:val="0"/>
          <w14:ligatures w14:val="none"/>
        </w:rPr>
        <w:t>Conclusion</w:t>
      </w:r>
    </w:p>
    <w:p w14:paraId="619E6389" w14:textId="6AABBA64" w:rsidR="001F7E4A" w:rsidRDefault="001F7E4A" w:rsidP="00A47474">
      <w:pPr>
        <w:spacing w:before="100" w:beforeAutospacing="1" w:after="100" w:afterAutospacing="1" w:line="240" w:lineRule="auto"/>
        <w:rPr>
          <w:rFonts w:ascii="Times New Roman" w:eastAsia="Times New Roman" w:hAnsi="Times New Roman" w:cs="Times New Roman"/>
          <w:color w:val="000000"/>
          <w:kern w:val="0"/>
          <w14:ligatures w14:val="none"/>
        </w:rPr>
      </w:pPr>
      <w:r w:rsidRPr="001F7E4A">
        <w:rPr>
          <w:rFonts w:ascii="Times New Roman" w:eastAsia="Times New Roman" w:hAnsi="Times New Roman" w:cs="Times New Roman"/>
          <w:color w:val="000000"/>
          <w:kern w:val="0"/>
          <w14:ligatures w14:val="none"/>
        </w:rPr>
        <w:t>This study advances a predictive, stage-specific framework for adjudicating competing theories of self-determination conflict. Leveraging Random Forest classifiers trained on global data, it reveals that the mechanisms driving the onset of nonviolent separatist claims are distinct from those fueling their escalation into violence.</w:t>
      </w:r>
      <w:r w:rsidR="00895320">
        <w:rPr>
          <w:rFonts w:ascii="Times New Roman" w:eastAsia="Times New Roman" w:hAnsi="Times New Roman" w:cs="Times New Roman"/>
          <w:color w:val="000000"/>
          <w:kern w:val="0"/>
          <w14:ligatures w14:val="none"/>
        </w:rPr>
        <w:t xml:space="preserve"> While most of individual and interaction </w:t>
      </w:r>
      <w:r w:rsidR="00F72026">
        <w:rPr>
          <w:rFonts w:ascii="Times New Roman" w:eastAsia="Times New Roman" w:hAnsi="Times New Roman" w:cs="Times New Roman"/>
          <w:color w:val="000000"/>
          <w:kern w:val="0"/>
          <w14:ligatures w14:val="none"/>
        </w:rPr>
        <w:t>models</w:t>
      </w:r>
      <w:r w:rsidR="00895320">
        <w:rPr>
          <w:rFonts w:ascii="Times New Roman" w:eastAsia="Times New Roman" w:hAnsi="Times New Roman" w:cs="Times New Roman"/>
          <w:color w:val="000000"/>
          <w:kern w:val="0"/>
          <w14:ligatures w14:val="none"/>
        </w:rPr>
        <w:t xml:space="preserve"> perform similarly </w:t>
      </w:r>
      <w:r w:rsidR="00A23549">
        <w:rPr>
          <w:rFonts w:ascii="Times New Roman" w:eastAsia="Times New Roman" w:hAnsi="Times New Roman" w:cs="Times New Roman"/>
          <w:color w:val="000000"/>
          <w:kern w:val="0"/>
          <w14:ligatures w14:val="none"/>
        </w:rPr>
        <w:t xml:space="preserve">within and </w:t>
      </w:r>
      <w:r w:rsidR="00895320">
        <w:rPr>
          <w:rFonts w:ascii="Times New Roman" w:eastAsia="Times New Roman" w:hAnsi="Times New Roman" w:cs="Times New Roman"/>
          <w:color w:val="000000"/>
          <w:kern w:val="0"/>
          <w14:ligatures w14:val="none"/>
        </w:rPr>
        <w:t xml:space="preserve">across </w:t>
      </w:r>
      <w:r w:rsidR="00A23549">
        <w:rPr>
          <w:rFonts w:ascii="Times New Roman" w:eastAsia="Times New Roman" w:hAnsi="Times New Roman" w:cs="Times New Roman"/>
          <w:color w:val="000000"/>
          <w:kern w:val="0"/>
          <w14:ligatures w14:val="none"/>
        </w:rPr>
        <w:t>both</w:t>
      </w:r>
      <w:r w:rsidR="00895320">
        <w:rPr>
          <w:rFonts w:ascii="Times New Roman" w:eastAsia="Times New Roman" w:hAnsi="Times New Roman" w:cs="Times New Roman"/>
          <w:color w:val="000000"/>
          <w:kern w:val="0"/>
          <w14:ligatures w14:val="none"/>
        </w:rPr>
        <w:t xml:space="preserve"> </w:t>
      </w:r>
      <w:r w:rsidR="00C7363C">
        <w:rPr>
          <w:rFonts w:ascii="Times New Roman" w:eastAsia="Times New Roman" w:hAnsi="Times New Roman" w:cs="Times New Roman"/>
          <w:color w:val="000000"/>
          <w:kern w:val="0"/>
          <w14:ligatures w14:val="none"/>
        </w:rPr>
        <w:t xml:space="preserve">stages, </w:t>
      </w:r>
      <w:r w:rsidR="00C7363C" w:rsidRPr="001F7E4A">
        <w:rPr>
          <w:rFonts w:ascii="Times New Roman" w:eastAsia="Times New Roman" w:hAnsi="Times New Roman" w:cs="Times New Roman"/>
          <w:color w:val="000000"/>
          <w:kern w:val="0"/>
          <w14:ligatures w14:val="none"/>
        </w:rPr>
        <w:t>political</w:t>
      </w:r>
      <w:r w:rsidR="00895320">
        <w:rPr>
          <w:rFonts w:ascii="Times New Roman" w:eastAsia="Times New Roman" w:hAnsi="Times New Roman" w:cs="Times New Roman"/>
          <w:color w:val="000000"/>
          <w:kern w:val="0"/>
          <w14:ligatures w14:val="none"/>
        </w:rPr>
        <w:t xml:space="preserve"> opportunity</w:t>
      </w:r>
      <w:r w:rsidR="00A23549">
        <w:rPr>
          <w:rFonts w:ascii="Times New Roman" w:eastAsia="Times New Roman" w:hAnsi="Times New Roman" w:cs="Times New Roman"/>
          <w:color w:val="000000"/>
          <w:kern w:val="0"/>
          <w14:ligatures w14:val="none"/>
        </w:rPr>
        <w:t xml:space="preserve"> and resources mobilization</w:t>
      </w:r>
      <w:r w:rsidR="00895320">
        <w:rPr>
          <w:rFonts w:ascii="Times New Roman" w:eastAsia="Times New Roman" w:hAnsi="Times New Roman" w:cs="Times New Roman"/>
          <w:color w:val="000000"/>
          <w:kern w:val="0"/>
          <w14:ligatures w14:val="none"/>
        </w:rPr>
        <w:t xml:space="preserve"> models</w:t>
      </w:r>
      <w:r w:rsidR="00A23549">
        <w:rPr>
          <w:rFonts w:ascii="Times New Roman" w:eastAsia="Times New Roman" w:hAnsi="Times New Roman" w:cs="Times New Roman"/>
          <w:color w:val="000000"/>
          <w:kern w:val="0"/>
          <w14:ligatures w14:val="none"/>
        </w:rPr>
        <w:t xml:space="preserve"> alone, their interactions,</w:t>
      </w:r>
      <w:r w:rsidR="00895320">
        <w:rPr>
          <w:rFonts w:ascii="Times New Roman" w:eastAsia="Times New Roman" w:hAnsi="Times New Roman" w:cs="Times New Roman"/>
          <w:color w:val="000000"/>
          <w:kern w:val="0"/>
          <w14:ligatures w14:val="none"/>
        </w:rPr>
        <w:t xml:space="preserve"> </w:t>
      </w:r>
      <w:r w:rsidR="008C141B">
        <w:rPr>
          <w:rFonts w:ascii="Times New Roman" w:eastAsia="Times New Roman" w:hAnsi="Times New Roman" w:cs="Times New Roman"/>
          <w:color w:val="000000"/>
          <w:kern w:val="0"/>
          <w14:ligatures w14:val="none"/>
        </w:rPr>
        <w:t>or</w:t>
      </w:r>
      <w:r w:rsidR="00895320">
        <w:rPr>
          <w:rFonts w:ascii="Times New Roman" w:eastAsia="Times New Roman" w:hAnsi="Times New Roman" w:cs="Times New Roman"/>
          <w:color w:val="000000"/>
          <w:kern w:val="0"/>
          <w14:ligatures w14:val="none"/>
        </w:rPr>
        <w:t xml:space="preserve"> </w:t>
      </w:r>
      <w:r w:rsidR="00A23549">
        <w:rPr>
          <w:rFonts w:ascii="Times New Roman" w:eastAsia="Times New Roman" w:hAnsi="Times New Roman" w:cs="Times New Roman"/>
          <w:color w:val="000000"/>
          <w:kern w:val="0"/>
          <w14:ligatures w14:val="none"/>
        </w:rPr>
        <w:t>their</w:t>
      </w:r>
      <w:r w:rsidR="00895320">
        <w:rPr>
          <w:rFonts w:ascii="Times New Roman" w:eastAsia="Times New Roman" w:hAnsi="Times New Roman" w:cs="Times New Roman"/>
          <w:color w:val="000000"/>
          <w:kern w:val="0"/>
          <w14:ligatures w14:val="none"/>
        </w:rPr>
        <w:t xml:space="preserve"> indicators</w:t>
      </w:r>
      <w:r w:rsidR="00A23549">
        <w:rPr>
          <w:rFonts w:ascii="Times New Roman" w:eastAsia="Times New Roman" w:hAnsi="Times New Roman" w:cs="Times New Roman"/>
          <w:color w:val="000000"/>
          <w:kern w:val="0"/>
          <w14:ligatures w14:val="none"/>
        </w:rPr>
        <w:t xml:space="preserve"> in complete models</w:t>
      </w:r>
      <w:r w:rsidR="00895320">
        <w:rPr>
          <w:rFonts w:ascii="Times New Roman" w:eastAsia="Times New Roman" w:hAnsi="Times New Roman" w:cs="Times New Roman"/>
          <w:color w:val="000000"/>
          <w:kern w:val="0"/>
          <w14:ligatures w14:val="none"/>
        </w:rPr>
        <w:t xml:space="preserve"> as show</w:t>
      </w:r>
      <w:r w:rsidR="008C141B">
        <w:rPr>
          <w:rFonts w:ascii="Times New Roman" w:eastAsia="Times New Roman" w:hAnsi="Times New Roman" w:cs="Times New Roman"/>
          <w:color w:val="000000"/>
          <w:kern w:val="0"/>
          <w14:ligatures w14:val="none"/>
        </w:rPr>
        <w:t>n</w:t>
      </w:r>
      <w:r w:rsidR="00895320">
        <w:rPr>
          <w:rFonts w:ascii="Times New Roman" w:eastAsia="Times New Roman" w:hAnsi="Times New Roman" w:cs="Times New Roman"/>
          <w:color w:val="000000"/>
          <w:kern w:val="0"/>
          <w14:ligatures w14:val="none"/>
        </w:rPr>
        <w:t xml:space="preserve"> in variable importance</w:t>
      </w:r>
      <w:r w:rsidR="00DB07BD">
        <w:rPr>
          <w:rFonts w:ascii="Times New Roman" w:eastAsia="Times New Roman" w:hAnsi="Times New Roman" w:cs="Times New Roman"/>
          <w:color w:val="000000"/>
          <w:kern w:val="0"/>
          <w14:ligatures w14:val="none"/>
        </w:rPr>
        <w:t xml:space="preserve"> and partial de</w:t>
      </w:r>
      <w:r w:rsidR="003A435F">
        <w:rPr>
          <w:rFonts w:ascii="Times New Roman" w:eastAsia="Times New Roman" w:hAnsi="Times New Roman" w:cs="Times New Roman"/>
          <w:color w:val="000000"/>
          <w:kern w:val="0"/>
          <w14:ligatures w14:val="none"/>
        </w:rPr>
        <w:t>pendence analysis</w:t>
      </w:r>
      <w:r w:rsidR="00895320">
        <w:rPr>
          <w:rFonts w:ascii="Times New Roman" w:eastAsia="Times New Roman" w:hAnsi="Times New Roman" w:cs="Times New Roman"/>
          <w:color w:val="000000"/>
          <w:kern w:val="0"/>
          <w14:ligatures w14:val="none"/>
        </w:rPr>
        <w:t xml:space="preserve"> </w:t>
      </w:r>
      <w:r w:rsidRPr="001F7E4A">
        <w:rPr>
          <w:rFonts w:ascii="Times New Roman" w:eastAsia="Times New Roman" w:hAnsi="Times New Roman" w:cs="Times New Roman"/>
          <w:color w:val="000000"/>
          <w:kern w:val="0"/>
          <w14:ligatures w14:val="none"/>
        </w:rPr>
        <w:t>best predict nonviolent mobilization</w:t>
      </w:r>
      <w:r w:rsidR="00895320">
        <w:rPr>
          <w:rFonts w:ascii="Times New Roman" w:eastAsia="Times New Roman" w:hAnsi="Times New Roman" w:cs="Times New Roman"/>
          <w:color w:val="000000"/>
          <w:kern w:val="0"/>
          <w14:ligatures w14:val="none"/>
        </w:rPr>
        <w:t xml:space="preserve"> and violent escalations too. However, differen</w:t>
      </w:r>
      <w:r w:rsidR="00EC6D47">
        <w:rPr>
          <w:rFonts w:ascii="Times New Roman" w:eastAsia="Times New Roman" w:hAnsi="Times New Roman" w:cs="Times New Roman"/>
          <w:color w:val="000000"/>
          <w:kern w:val="0"/>
          <w14:ligatures w14:val="none"/>
        </w:rPr>
        <w:t>t values</w:t>
      </w:r>
      <w:r w:rsidR="008C141B">
        <w:rPr>
          <w:rFonts w:ascii="Times New Roman" w:eastAsia="Times New Roman" w:hAnsi="Times New Roman" w:cs="Times New Roman"/>
          <w:color w:val="000000"/>
          <w:kern w:val="0"/>
          <w14:ligatures w14:val="none"/>
        </w:rPr>
        <w:t xml:space="preserve"> and direction of</w:t>
      </w:r>
      <w:r w:rsidR="00EC6D47">
        <w:rPr>
          <w:rFonts w:ascii="Times New Roman" w:eastAsia="Times New Roman" w:hAnsi="Times New Roman" w:cs="Times New Roman"/>
          <w:color w:val="000000"/>
          <w:kern w:val="0"/>
          <w14:ligatures w14:val="none"/>
        </w:rPr>
        <w:t xml:space="preserve"> indicators </w:t>
      </w:r>
      <w:r w:rsidR="00C7363C">
        <w:rPr>
          <w:rFonts w:ascii="Times New Roman" w:eastAsia="Times New Roman" w:hAnsi="Times New Roman" w:cs="Times New Roman"/>
          <w:color w:val="000000"/>
          <w:kern w:val="0"/>
          <w14:ligatures w14:val="none"/>
        </w:rPr>
        <w:t xml:space="preserve">of </w:t>
      </w:r>
      <w:r w:rsidR="008C141B">
        <w:rPr>
          <w:rFonts w:ascii="Times New Roman" w:eastAsia="Times New Roman" w:hAnsi="Times New Roman" w:cs="Times New Roman"/>
          <w:color w:val="000000"/>
          <w:kern w:val="0"/>
          <w14:ligatures w14:val="none"/>
        </w:rPr>
        <w:t xml:space="preserve">both </w:t>
      </w:r>
      <w:r w:rsidR="00C7363C">
        <w:rPr>
          <w:rFonts w:ascii="Times New Roman" w:eastAsia="Times New Roman" w:hAnsi="Times New Roman" w:cs="Times New Roman"/>
          <w:color w:val="000000"/>
          <w:kern w:val="0"/>
          <w14:ligatures w14:val="none"/>
        </w:rPr>
        <w:t>political</w:t>
      </w:r>
      <w:r w:rsidR="00EC6D47">
        <w:rPr>
          <w:rFonts w:ascii="Times New Roman" w:eastAsia="Times New Roman" w:hAnsi="Times New Roman" w:cs="Times New Roman"/>
          <w:color w:val="000000"/>
          <w:kern w:val="0"/>
          <w14:ligatures w14:val="none"/>
        </w:rPr>
        <w:t xml:space="preserve"> </w:t>
      </w:r>
      <w:r w:rsidR="00AA7F01">
        <w:rPr>
          <w:rFonts w:ascii="Times New Roman" w:eastAsia="Times New Roman" w:hAnsi="Times New Roman" w:cs="Times New Roman"/>
          <w:color w:val="000000"/>
          <w:kern w:val="0"/>
          <w14:ligatures w14:val="none"/>
        </w:rPr>
        <w:t xml:space="preserve">opportunity and resources mobilization models </w:t>
      </w:r>
      <w:r w:rsidR="00EC6D47">
        <w:rPr>
          <w:rFonts w:ascii="Times New Roman" w:eastAsia="Times New Roman" w:hAnsi="Times New Roman" w:cs="Times New Roman"/>
          <w:color w:val="000000"/>
          <w:kern w:val="0"/>
          <w14:ligatures w14:val="none"/>
        </w:rPr>
        <w:t xml:space="preserve">predict </w:t>
      </w:r>
      <w:r w:rsidR="00C7363C">
        <w:rPr>
          <w:rFonts w:ascii="Times New Roman" w:eastAsia="Times New Roman" w:hAnsi="Times New Roman" w:cs="Times New Roman"/>
          <w:color w:val="000000"/>
          <w:kern w:val="0"/>
          <w14:ligatures w14:val="none"/>
        </w:rPr>
        <w:t>nonviolent</w:t>
      </w:r>
      <w:r w:rsidR="00EC6D47">
        <w:rPr>
          <w:rFonts w:ascii="Times New Roman" w:eastAsia="Times New Roman" w:hAnsi="Times New Roman" w:cs="Times New Roman"/>
          <w:color w:val="000000"/>
          <w:kern w:val="0"/>
          <w14:ligatures w14:val="none"/>
        </w:rPr>
        <w:t xml:space="preserve"> and violent escalation </w:t>
      </w:r>
      <w:r w:rsidR="00C7363C">
        <w:rPr>
          <w:rFonts w:ascii="Times New Roman" w:eastAsia="Times New Roman" w:hAnsi="Times New Roman" w:cs="Times New Roman"/>
          <w:color w:val="000000"/>
          <w:kern w:val="0"/>
          <w14:ligatures w14:val="none"/>
        </w:rPr>
        <w:t>differently</w:t>
      </w:r>
      <w:r w:rsidR="00EC6D47">
        <w:rPr>
          <w:rFonts w:ascii="Times New Roman" w:eastAsia="Times New Roman" w:hAnsi="Times New Roman" w:cs="Times New Roman"/>
          <w:color w:val="000000"/>
          <w:kern w:val="0"/>
          <w14:ligatures w14:val="none"/>
        </w:rPr>
        <w:t xml:space="preserve">. </w:t>
      </w:r>
      <w:r w:rsidR="00BC579E">
        <w:rPr>
          <w:rFonts w:ascii="Times New Roman" w:eastAsia="Times New Roman" w:hAnsi="Times New Roman" w:cs="Times New Roman"/>
          <w:color w:val="000000"/>
          <w:kern w:val="0"/>
          <w14:ligatures w14:val="none"/>
        </w:rPr>
        <w:t>For example, h</w:t>
      </w:r>
      <w:r w:rsidR="00EC6D47">
        <w:rPr>
          <w:rFonts w:ascii="Times New Roman" w:eastAsia="Times New Roman" w:hAnsi="Times New Roman" w:cs="Times New Roman"/>
          <w:color w:val="000000"/>
          <w:kern w:val="0"/>
          <w14:ligatures w14:val="none"/>
        </w:rPr>
        <w:t xml:space="preserve">igher </w:t>
      </w:r>
      <w:r w:rsidR="003A435F">
        <w:rPr>
          <w:rFonts w:ascii="Times New Roman" w:eastAsia="Times New Roman" w:hAnsi="Times New Roman" w:cs="Times New Roman"/>
          <w:color w:val="000000"/>
          <w:kern w:val="0"/>
          <w14:ligatures w14:val="none"/>
        </w:rPr>
        <w:t>numbers of the group in the country, federalism,</w:t>
      </w:r>
      <w:r w:rsidR="00EC6D47">
        <w:rPr>
          <w:rFonts w:ascii="Times New Roman" w:eastAsia="Times New Roman" w:hAnsi="Times New Roman" w:cs="Times New Roman"/>
          <w:color w:val="000000"/>
          <w:kern w:val="0"/>
          <w14:ligatures w14:val="none"/>
        </w:rPr>
        <w:t xml:space="preserve"> and </w:t>
      </w:r>
      <w:r w:rsidR="00AA7F01">
        <w:rPr>
          <w:rFonts w:ascii="Times New Roman" w:eastAsia="Times New Roman" w:hAnsi="Times New Roman" w:cs="Times New Roman"/>
          <w:color w:val="000000"/>
          <w:kern w:val="0"/>
          <w14:ligatures w14:val="none"/>
        </w:rPr>
        <w:t>d</w:t>
      </w:r>
      <w:r w:rsidR="00EC6D47">
        <w:rPr>
          <w:rFonts w:ascii="Times New Roman" w:eastAsia="Times New Roman" w:hAnsi="Times New Roman" w:cs="Times New Roman"/>
          <w:color w:val="000000"/>
          <w:kern w:val="0"/>
          <w14:ligatures w14:val="none"/>
        </w:rPr>
        <w:t xml:space="preserve">emocracy </w:t>
      </w:r>
      <w:r w:rsidR="00C7363C">
        <w:rPr>
          <w:rFonts w:ascii="Times New Roman" w:eastAsia="Times New Roman" w:hAnsi="Times New Roman" w:cs="Times New Roman"/>
          <w:color w:val="000000"/>
          <w:kern w:val="0"/>
          <w14:ligatures w14:val="none"/>
        </w:rPr>
        <w:t>scores</w:t>
      </w:r>
      <w:r w:rsidR="00EC6D47">
        <w:rPr>
          <w:rFonts w:ascii="Times New Roman" w:eastAsia="Times New Roman" w:hAnsi="Times New Roman" w:cs="Times New Roman"/>
          <w:color w:val="000000"/>
          <w:kern w:val="0"/>
          <w14:ligatures w14:val="none"/>
        </w:rPr>
        <w:t xml:space="preserve"> predicts nonviolent onset</w:t>
      </w:r>
      <w:r w:rsidR="00BC579E">
        <w:rPr>
          <w:rFonts w:ascii="Times New Roman" w:eastAsia="Times New Roman" w:hAnsi="Times New Roman" w:cs="Times New Roman"/>
          <w:color w:val="000000"/>
          <w:kern w:val="0"/>
          <w14:ligatures w14:val="none"/>
        </w:rPr>
        <w:t>,</w:t>
      </w:r>
      <w:r w:rsidR="00EC6D47">
        <w:rPr>
          <w:rFonts w:ascii="Times New Roman" w:eastAsia="Times New Roman" w:hAnsi="Times New Roman" w:cs="Times New Roman"/>
          <w:color w:val="000000"/>
          <w:kern w:val="0"/>
          <w14:ligatures w14:val="none"/>
        </w:rPr>
        <w:t xml:space="preserve"> and lowers values </w:t>
      </w:r>
      <w:r w:rsidR="00B1464D">
        <w:rPr>
          <w:rFonts w:ascii="Times New Roman" w:eastAsia="Times New Roman" w:hAnsi="Times New Roman" w:cs="Times New Roman"/>
          <w:color w:val="000000"/>
          <w:kern w:val="0"/>
          <w14:ligatures w14:val="none"/>
        </w:rPr>
        <w:t xml:space="preserve">of </w:t>
      </w:r>
      <w:r w:rsidR="00BC579E">
        <w:rPr>
          <w:rFonts w:ascii="Times New Roman" w:eastAsia="Times New Roman" w:hAnsi="Times New Roman" w:cs="Times New Roman"/>
          <w:color w:val="000000"/>
          <w:kern w:val="0"/>
          <w14:ligatures w14:val="none"/>
        </w:rPr>
        <w:t>democracy</w:t>
      </w:r>
      <w:r w:rsidR="00EC6D47">
        <w:rPr>
          <w:rFonts w:ascii="Times New Roman" w:eastAsia="Times New Roman" w:hAnsi="Times New Roman" w:cs="Times New Roman"/>
          <w:color w:val="000000"/>
          <w:kern w:val="0"/>
          <w14:ligatures w14:val="none"/>
        </w:rPr>
        <w:t xml:space="preserve"> predicts violent </w:t>
      </w:r>
      <w:r w:rsidR="00C7363C">
        <w:rPr>
          <w:rFonts w:ascii="Times New Roman" w:eastAsia="Times New Roman" w:hAnsi="Times New Roman" w:cs="Times New Roman"/>
          <w:color w:val="000000"/>
          <w:kern w:val="0"/>
          <w14:ligatures w14:val="none"/>
        </w:rPr>
        <w:t>escalations</w:t>
      </w:r>
      <w:r w:rsidR="00EC6D47">
        <w:rPr>
          <w:rFonts w:ascii="Times New Roman" w:eastAsia="Times New Roman" w:hAnsi="Times New Roman" w:cs="Times New Roman"/>
          <w:color w:val="000000"/>
          <w:kern w:val="0"/>
          <w14:ligatures w14:val="none"/>
        </w:rPr>
        <w:t xml:space="preserve">.  </w:t>
      </w:r>
      <w:r w:rsidRPr="001F7E4A">
        <w:rPr>
          <w:rFonts w:ascii="Times New Roman" w:eastAsia="Times New Roman" w:hAnsi="Times New Roman" w:cs="Times New Roman"/>
          <w:color w:val="000000"/>
          <w:kern w:val="0"/>
          <w14:ligatures w14:val="none"/>
        </w:rPr>
        <w:t xml:space="preserve">Notably, the interaction between </w:t>
      </w:r>
      <w:r w:rsidR="00AA7F01">
        <w:rPr>
          <w:rFonts w:ascii="Times New Roman" w:eastAsia="Times New Roman" w:hAnsi="Times New Roman" w:cs="Times New Roman"/>
          <w:color w:val="000000"/>
          <w:kern w:val="0"/>
          <w14:ligatures w14:val="none"/>
        </w:rPr>
        <w:t>p</w:t>
      </w:r>
      <w:r w:rsidR="00C7363C">
        <w:rPr>
          <w:rFonts w:ascii="Times New Roman" w:eastAsia="Times New Roman" w:hAnsi="Times New Roman" w:cs="Times New Roman"/>
          <w:color w:val="000000"/>
          <w:kern w:val="0"/>
          <w14:ligatures w14:val="none"/>
        </w:rPr>
        <w:t xml:space="preserve">olitical </w:t>
      </w:r>
      <w:r w:rsidR="00AA7F01">
        <w:rPr>
          <w:rFonts w:ascii="Times New Roman" w:eastAsia="Times New Roman" w:hAnsi="Times New Roman" w:cs="Times New Roman"/>
          <w:color w:val="000000"/>
          <w:kern w:val="0"/>
          <w14:ligatures w14:val="none"/>
        </w:rPr>
        <w:t>o</w:t>
      </w:r>
      <w:r w:rsidR="00F72026">
        <w:rPr>
          <w:rFonts w:ascii="Times New Roman" w:eastAsia="Times New Roman" w:hAnsi="Times New Roman" w:cs="Times New Roman"/>
          <w:color w:val="000000"/>
          <w:kern w:val="0"/>
          <w14:ligatures w14:val="none"/>
        </w:rPr>
        <w:t>pportunity</w:t>
      </w:r>
      <w:r w:rsidRPr="001F7E4A">
        <w:rPr>
          <w:rFonts w:ascii="Times New Roman" w:eastAsia="Times New Roman" w:hAnsi="Times New Roman" w:cs="Times New Roman"/>
          <w:color w:val="000000"/>
          <w:kern w:val="0"/>
          <w14:ligatures w14:val="none"/>
        </w:rPr>
        <w:t xml:space="preserve"> </w:t>
      </w:r>
      <w:r w:rsidR="00C7363C">
        <w:rPr>
          <w:rFonts w:ascii="Times New Roman" w:eastAsia="Times New Roman" w:hAnsi="Times New Roman" w:cs="Times New Roman"/>
          <w:color w:val="000000"/>
          <w:kern w:val="0"/>
          <w14:ligatures w14:val="none"/>
        </w:rPr>
        <w:t xml:space="preserve">and </w:t>
      </w:r>
      <w:r w:rsidR="00F72026">
        <w:rPr>
          <w:rFonts w:ascii="Times New Roman" w:eastAsia="Times New Roman" w:hAnsi="Times New Roman" w:cs="Times New Roman"/>
          <w:color w:val="000000"/>
          <w:kern w:val="0"/>
          <w14:ligatures w14:val="none"/>
        </w:rPr>
        <w:t>resources</w:t>
      </w:r>
      <w:r w:rsidR="00C7363C">
        <w:rPr>
          <w:rFonts w:ascii="Times New Roman" w:eastAsia="Times New Roman" w:hAnsi="Times New Roman" w:cs="Times New Roman"/>
          <w:color w:val="000000"/>
          <w:kern w:val="0"/>
          <w14:ligatures w14:val="none"/>
        </w:rPr>
        <w:t xml:space="preserve"> mobilizations</w:t>
      </w:r>
      <w:r w:rsidRPr="001F7E4A">
        <w:rPr>
          <w:rFonts w:ascii="Times New Roman" w:eastAsia="Times New Roman" w:hAnsi="Times New Roman" w:cs="Times New Roman"/>
          <w:color w:val="000000"/>
          <w:kern w:val="0"/>
          <w14:ligatures w14:val="none"/>
        </w:rPr>
        <w:t xml:space="preserve"> consistently outperforms</w:t>
      </w:r>
      <w:r w:rsidR="00C844E3">
        <w:rPr>
          <w:rFonts w:ascii="Times New Roman" w:eastAsia="Times New Roman" w:hAnsi="Times New Roman" w:cs="Times New Roman"/>
          <w:color w:val="000000"/>
          <w:kern w:val="0"/>
          <w14:ligatures w14:val="none"/>
        </w:rPr>
        <w:t xml:space="preserve"> individual and</w:t>
      </w:r>
      <w:r w:rsidRPr="001F7E4A">
        <w:rPr>
          <w:rFonts w:ascii="Times New Roman" w:eastAsia="Times New Roman" w:hAnsi="Times New Roman" w:cs="Times New Roman"/>
          <w:color w:val="000000"/>
          <w:kern w:val="0"/>
          <w14:ligatures w14:val="none"/>
        </w:rPr>
        <w:t xml:space="preserve"> other interaction models across both stages</w:t>
      </w:r>
      <w:r w:rsidR="00C7363C">
        <w:rPr>
          <w:rFonts w:ascii="Times New Roman" w:eastAsia="Times New Roman" w:hAnsi="Times New Roman" w:cs="Times New Roman"/>
          <w:color w:val="000000"/>
          <w:kern w:val="0"/>
          <w14:ligatures w14:val="none"/>
        </w:rPr>
        <w:t xml:space="preserve"> such as historical</w:t>
      </w:r>
      <w:r w:rsidR="00C844E3">
        <w:rPr>
          <w:rFonts w:ascii="Times New Roman" w:eastAsia="Times New Roman" w:hAnsi="Times New Roman" w:cs="Times New Roman"/>
          <w:color w:val="000000"/>
          <w:kern w:val="0"/>
          <w14:ligatures w14:val="none"/>
        </w:rPr>
        <w:t xml:space="preserve"> and recent</w:t>
      </w:r>
      <w:r w:rsidR="00C7363C">
        <w:rPr>
          <w:rFonts w:ascii="Times New Roman" w:eastAsia="Times New Roman" w:hAnsi="Times New Roman" w:cs="Times New Roman"/>
          <w:color w:val="000000"/>
          <w:kern w:val="0"/>
          <w14:ligatures w14:val="none"/>
        </w:rPr>
        <w:t xml:space="preserve"> </w:t>
      </w:r>
      <w:r w:rsidR="00F72026">
        <w:rPr>
          <w:rFonts w:ascii="Times New Roman" w:eastAsia="Times New Roman" w:hAnsi="Times New Roman" w:cs="Times New Roman"/>
          <w:color w:val="000000"/>
          <w:kern w:val="0"/>
          <w14:ligatures w14:val="none"/>
        </w:rPr>
        <w:t>grievances.</w:t>
      </w:r>
    </w:p>
    <w:p w14:paraId="52F99FE8" w14:textId="4CC1BC92" w:rsidR="00A47474" w:rsidRPr="001A751E" w:rsidRDefault="003052CF" w:rsidP="003052CF">
      <w:pPr>
        <w:spacing w:line="240" w:lineRule="auto"/>
        <w:rPr>
          <w:rFonts w:ascii="Times New Roman" w:hAnsi="Times New Roman" w:cs="Times New Roman"/>
        </w:rPr>
      </w:pPr>
      <w:r w:rsidRPr="003052CF">
        <w:rPr>
          <w:rFonts w:ascii="Times New Roman" w:hAnsi="Times New Roman" w:cs="Times New Roman"/>
        </w:rPr>
        <w:t xml:space="preserve">These findings challenge the predictive utility of </w:t>
      </w:r>
      <w:r w:rsidR="00C751B1">
        <w:rPr>
          <w:rFonts w:ascii="Times New Roman" w:hAnsi="Times New Roman" w:cs="Times New Roman"/>
        </w:rPr>
        <w:t>several prominent</w:t>
      </w:r>
      <w:r w:rsidRPr="003052CF">
        <w:rPr>
          <w:rFonts w:ascii="Times New Roman" w:hAnsi="Times New Roman" w:cs="Times New Roman"/>
        </w:rPr>
        <w:t xml:space="preserve"> frameworks. The contributions are twofold. Methodologically, the study offers a replicable, generalizable approach for theory testing that integrates machine learning with social science theory, moving beyond conventional in-sample associations to assess true out-of-sample performance</w:t>
      </w:r>
      <w:r w:rsidR="00C844E3">
        <w:rPr>
          <w:rFonts w:ascii="Times New Roman" w:hAnsi="Times New Roman" w:cs="Times New Roman"/>
        </w:rPr>
        <w:t xml:space="preserve"> across stages of political phenomena</w:t>
      </w:r>
      <w:r w:rsidRPr="003052CF">
        <w:rPr>
          <w:rFonts w:ascii="Times New Roman" w:hAnsi="Times New Roman" w:cs="Times New Roman"/>
        </w:rPr>
        <w:t xml:space="preserve">. Substantively, it provides sharper insight into the conditions under which self-determination movements escalate, and under which they remain nonviolent. </w:t>
      </w:r>
    </w:p>
    <w:p w14:paraId="087E34EA" w14:textId="77777777" w:rsidR="001A751E" w:rsidRPr="001A751E" w:rsidRDefault="001A751E">
      <w:pPr>
        <w:rPr>
          <w:rFonts w:ascii="Times New Roman" w:hAnsi="Times New Roman" w:cs="Times New Roman"/>
          <w:b/>
          <w:bCs/>
        </w:rPr>
      </w:pPr>
      <w:r w:rsidRPr="001A751E">
        <w:rPr>
          <w:rFonts w:ascii="Times New Roman" w:hAnsi="Times New Roman" w:cs="Times New Roman"/>
          <w:b/>
          <w:bCs/>
        </w:rPr>
        <w:br w:type="page"/>
      </w:r>
    </w:p>
    <w:p w14:paraId="0976C913" w14:textId="3C7C5B68" w:rsidR="00192881" w:rsidRPr="00192881" w:rsidRDefault="001A63AB" w:rsidP="0019288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A63AB">
        <w:rPr>
          <w:rFonts w:ascii="Times New Roman" w:eastAsia="Times New Roman" w:hAnsi="Times New Roman" w:cs="Times New Roman"/>
          <w:b/>
          <w:bCs/>
          <w:kern w:val="0"/>
          <w14:ligatures w14:val="none"/>
        </w:rPr>
        <w:t>References</w:t>
      </w:r>
    </w:p>
    <w:p w14:paraId="2D0C8AA3" w14:textId="77777777" w:rsidR="00192881" w:rsidRPr="00192881" w:rsidRDefault="00192881" w:rsidP="00192881">
      <w:pPr>
        <w:spacing w:after="0" w:line="240" w:lineRule="auto"/>
        <w:ind w:left="720" w:hanging="720"/>
        <w:outlineLvl w:val="2"/>
        <w:rPr>
          <w:rFonts w:asciiTheme="majorBidi" w:eastAsia="Times New Roman" w:hAnsiTheme="majorBidi" w:cstheme="majorBidi"/>
          <w:kern w:val="0"/>
          <w14:ligatures w14:val="none"/>
        </w:rPr>
      </w:pPr>
      <w:r w:rsidRPr="00192881">
        <w:rPr>
          <w:rFonts w:asciiTheme="majorBidi" w:eastAsia="Times New Roman" w:hAnsiTheme="majorBidi" w:cstheme="majorBidi"/>
          <w:kern w:val="0"/>
          <w14:ligatures w14:val="none"/>
        </w:rPr>
        <w:t xml:space="preserve">Altmann, André, Laura </w:t>
      </w:r>
      <w:proofErr w:type="spellStart"/>
      <w:r w:rsidRPr="00192881">
        <w:rPr>
          <w:rFonts w:asciiTheme="majorBidi" w:eastAsia="Times New Roman" w:hAnsiTheme="majorBidi" w:cstheme="majorBidi"/>
          <w:kern w:val="0"/>
          <w14:ligatures w14:val="none"/>
        </w:rPr>
        <w:t>Toloşi</w:t>
      </w:r>
      <w:proofErr w:type="spellEnd"/>
      <w:r w:rsidRPr="00192881">
        <w:rPr>
          <w:rFonts w:asciiTheme="majorBidi" w:eastAsia="Times New Roman" w:hAnsiTheme="majorBidi" w:cstheme="majorBidi"/>
          <w:kern w:val="0"/>
          <w14:ligatures w14:val="none"/>
        </w:rPr>
        <w:t>, Oliver Sander, and Thomas Lengauer. "Permutation importance: a corrected feature importance measure." Bioinformatics 26, no. 10 (2010): 1340-1347.</w:t>
      </w:r>
    </w:p>
    <w:p w14:paraId="552F538C"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Cederman, Lars-Erik, Andreas Wimmer, and Brian Min. 2010. Why Do Ethnic Groups Rebel? New Data and Analysis. World Politics 62 (1):87–119.</w:t>
      </w:r>
    </w:p>
    <w:p w14:paraId="13A514E1"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Chapman, Thomas, and Philip G. Roeder. 2007. "Partition as a solution to wars of nationalism: The importance of institutions." American Political Science Review 101, no. 4: 677-691.</w:t>
      </w:r>
    </w:p>
    <w:p w14:paraId="3F1EA83F"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Chenoweth, Erica, and Maria J. Stephan. 2011.Why civil resistance works: The strategic logic of nonviolent conflict. Columbia University Press.</w:t>
      </w:r>
    </w:p>
    <w:p w14:paraId="16294EAF" w14:textId="77777777" w:rsidR="00192881" w:rsidRPr="00192881" w:rsidRDefault="00192881" w:rsidP="00192881">
      <w:pPr>
        <w:spacing w:after="0" w:line="240" w:lineRule="auto"/>
        <w:ind w:left="720" w:hanging="720"/>
        <w:outlineLvl w:val="2"/>
        <w:rPr>
          <w:rFonts w:asciiTheme="majorBidi" w:hAnsiTheme="majorBidi" w:cstheme="majorBidi"/>
          <w:color w:val="222222"/>
          <w:shd w:val="clear" w:color="auto" w:fill="FFFFFF"/>
        </w:rPr>
      </w:pPr>
      <w:r w:rsidRPr="00192881">
        <w:rPr>
          <w:rFonts w:asciiTheme="majorBidi" w:hAnsiTheme="majorBidi" w:cstheme="majorBidi"/>
          <w:color w:val="222222"/>
          <w:shd w:val="clear" w:color="auto" w:fill="FFFFFF"/>
        </w:rPr>
        <w:t>DeLong, E. R., DeLong, D. M., &amp; Clarke-Pearson, D. L. (1988). Comparing the areas under two or more correlated receiver operating characteristic curves: a nonparametric approach. </w:t>
      </w:r>
      <w:r w:rsidRPr="00192881">
        <w:rPr>
          <w:rFonts w:asciiTheme="majorBidi" w:hAnsiTheme="majorBidi" w:cstheme="majorBidi"/>
          <w:i/>
          <w:iCs/>
          <w:color w:val="222222"/>
          <w:shd w:val="clear" w:color="auto" w:fill="FFFFFF"/>
        </w:rPr>
        <w:t>Biometrics</w:t>
      </w:r>
      <w:r w:rsidRPr="00192881">
        <w:rPr>
          <w:rFonts w:asciiTheme="majorBidi" w:hAnsiTheme="majorBidi" w:cstheme="majorBidi"/>
          <w:color w:val="222222"/>
          <w:shd w:val="clear" w:color="auto" w:fill="FFFFFF"/>
        </w:rPr>
        <w:t>, 837-845.</w:t>
      </w:r>
    </w:p>
    <w:p w14:paraId="49BC423A"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Fearon, James D., and David D. Laitin. 2003. Ethnicity, Insurgency, and Civil War. American Political Science Review 97 (1):75–90.</w:t>
      </w:r>
    </w:p>
    <w:p w14:paraId="56457CD1" w14:textId="77777777" w:rsidR="00192881" w:rsidRPr="00192881" w:rsidRDefault="00192881" w:rsidP="00192881">
      <w:pPr>
        <w:spacing w:after="0" w:line="240" w:lineRule="auto"/>
        <w:ind w:left="720" w:hanging="720"/>
        <w:outlineLvl w:val="2"/>
        <w:rPr>
          <w:rFonts w:asciiTheme="majorBidi" w:eastAsia="Times New Roman" w:hAnsiTheme="majorBidi" w:cstheme="majorBidi"/>
          <w:kern w:val="0"/>
          <w14:ligatures w14:val="none"/>
        </w:rPr>
      </w:pPr>
      <w:r w:rsidRPr="00192881">
        <w:rPr>
          <w:rFonts w:asciiTheme="majorBidi" w:eastAsia="Times New Roman" w:hAnsiTheme="majorBidi" w:cstheme="majorBidi"/>
          <w:kern w:val="0"/>
          <w14:ligatures w14:val="none"/>
        </w:rPr>
        <w:t>Germann, Micha, and Nicholas Sambanis. 2021."Political exclusion, lost autonomy, and escalating conflict over self-determination." International Organization 75, no. 1: 178-203.</w:t>
      </w:r>
    </w:p>
    <w:p w14:paraId="42D23E49"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Goodwin, Jeff, and James M. Jasper. 1999. "Caught in a winding, snarling vine: The structural bias of political process theory." In Sociological forum, vol. 14, pp. 27-54. Kluwer Academic Publishers-Plenum Publishers.</w:t>
      </w:r>
    </w:p>
    <w:p w14:paraId="16AC40A0"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Gurr, R. Ted. 1993. Why minorities rebel: A global analysis of communal mobilization and conflict since 1945. International political science review, 14(2), 161-201.</w:t>
      </w:r>
    </w:p>
    <w:p w14:paraId="69380640"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hAnsiTheme="majorBidi" w:cstheme="majorBidi"/>
          <w:kern w:val="0"/>
        </w:rPr>
        <w:t>Hechter, Michael. 2000. Containing Nationalism. Oxford University Press.</w:t>
      </w:r>
    </w:p>
    <w:p w14:paraId="2554B412"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McAdam, Doug, Sidney G. Tarrow, and Charles Tilly. 2001. Dynamics of Contention. Cambridge University Press.</w:t>
      </w:r>
    </w:p>
    <w:p w14:paraId="3D8CE2D1"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Meyer, David S., and Sidney G. Tarrow, eds. 1998. The social movement society: Contentious politics for a new century. Rowman &amp; Littlefield.</w:t>
      </w:r>
    </w:p>
    <w:p w14:paraId="60E64251"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 xml:space="preserve">Montgomery, Jacob M., and Santiago Olivella. 2018. “Tree-Based Models for Political Science Data.” </w:t>
      </w:r>
      <w:r w:rsidRPr="00192881">
        <w:rPr>
          <w:rFonts w:asciiTheme="majorBidi" w:eastAsia="Times New Roman" w:hAnsiTheme="majorBidi" w:cstheme="majorBidi"/>
          <w:i/>
          <w:iCs/>
          <w:color w:val="0E0E0E"/>
          <w:kern w:val="0"/>
          <w14:ligatures w14:val="none"/>
        </w:rPr>
        <w:t>Political Analysis</w:t>
      </w:r>
      <w:r w:rsidRPr="00192881">
        <w:rPr>
          <w:rFonts w:asciiTheme="majorBidi" w:eastAsia="Times New Roman" w:hAnsiTheme="majorBidi" w:cstheme="majorBidi"/>
          <w:color w:val="0E0E0E"/>
          <w:kern w:val="0"/>
          <w14:ligatures w14:val="none"/>
        </w:rPr>
        <w:t xml:space="preserve"> 26(3): 312–330.</w:t>
      </w:r>
    </w:p>
    <w:p w14:paraId="7C8B07D2"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Olson, Mancur.1965. "The logic of collective action." Contemporary sociological theory 124:62-63.</w:t>
      </w:r>
    </w:p>
    <w:p w14:paraId="7CB800CA"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Petersen, Roger Dale. 2002. Understanding Ethnic Violence: Fear, Hatred, and Resentment in Twentieth- Century Eastern Europe. Cambridge University Press.</w:t>
      </w:r>
    </w:p>
    <w:p w14:paraId="3A034F2D" w14:textId="77777777" w:rsidR="00192881" w:rsidRPr="00192881" w:rsidRDefault="00192881" w:rsidP="00192881">
      <w:pPr>
        <w:spacing w:after="0" w:line="240" w:lineRule="auto"/>
        <w:ind w:left="720" w:hanging="720"/>
        <w:outlineLvl w:val="2"/>
        <w:rPr>
          <w:rFonts w:asciiTheme="majorBidi" w:hAnsiTheme="majorBidi" w:cstheme="majorBidi"/>
          <w:color w:val="222222"/>
          <w:shd w:val="clear" w:color="auto" w:fill="FFFFFF"/>
        </w:rPr>
      </w:pPr>
      <w:r w:rsidRPr="00192881">
        <w:rPr>
          <w:rFonts w:asciiTheme="majorBidi" w:hAnsiTheme="majorBidi" w:cstheme="majorBidi"/>
          <w:color w:val="222222"/>
          <w:shd w:val="clear" w:color="auto" w:fill="FFFFFF"/>
        </w:rPr>
        <w:t xml:space="preserve">Sambanis, Nicholas, Micha Germann, and Andreas </w:t>
      </w:r>
      <w:proofErr w:type="spellStart"/>
      <w:r w:rsidRPr="00192881">
        <w:rPr>
          <w:rFonts w:asciiTheme="majorBidi" w:hAnsiTheme="majorBidi" w:cstheme="majorBidi"/>
          <w:color w:val="222222"/>
          <w:shd w:val="clear" w:color="auto" w:fill="FFFFFF"/>
        </w:rPr>
        <w:t>Schädel</w:t>
      </w:r>
      <w:proofErr w:type="spellEnd"/>
      <w:r w:rsidRPr="00192881">
        <w:rPr>
          <w:rFonts w:asciiTheme="majorBidi" w:hAnsiTheme="majorBidi" w:cstheme="majorBidi"/>
          <w:color w:val="222222"/>
          <w:shd w:val="clear" w:color="auto" w:fill="FFFFFF"/>
        </w:rPr>
        <w:t>. 2018. "SDM: A new data set on self-determination movements with an application to the reputational theory of conflict." </w:t>
      </w:r>
      <w:r w:rsidRPr="00192881">
        <w:rPr>
          <w:rFonts w:asciiTheme="majorBidi" w:hAnsiTheme="majorBidi" w:cstheme="majorBidi"/>
          <w:i/>
          <w:iCs/>
          <w:color w:val="222222"/>
          <w:shd w:val="clear" w:color="auto" w:fill="FFFFFF"/>
        </w:rPr>
        <w:t>Journal of Conflict Resolution</w:t>
      </w:r>
      <w:r w:rsidRPr="00192881">
        <w:rPr>
          <w:rFonts w:asciiTheme="majorBidi" w:hAnsiTheme="majorBidi" w:cstheme="majorBidi"/>
          <w:color w:val="222222"/>
          <w:shd w:val="clear" w:color="auto" w:fill="FFFFFF"/>
        </w:rPr>
        <w:t xml:space="preserve"> 62, no. </w:t>
      </w:r>
      <w:proofErr w:type="gramStart"/>
      <w:r w:rsidRPr="00192881">
        <w:rPr>
          <w:rFonts w:asciiTheme="majorBidi" w:hAnsiTheme="majorBidi" w:cstheme="majorBidi"/>
          <w:color w:val="222222"/>
          <w:shd w:val="clear" w:color="auto" w:fill="FFFFFF"/>
        </w:rPr>
        <w:t>3 :</w:t>
      </w:r>
      <w:proofErr w:type="gramEnd"/>
      <w:r w:rsidRPr="00192881">
        <w:rPr>
          <w:rFonts w:asciiTheme="majorBidi" w:hAnsiTheme="majorBidi" w:cstheme="majorBidi"/>
          <w:color w:val="222222"/>
          <w:shd w:val="clear" w:color="auto" w:fill="FFFFFF"/>
        </w:rPr>
        <w:t xml:space="preserve"> 656-686.</w:t>
      </w:r>
    </w:p>
    <w:p w14:paraId="2C014CB0"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Siroky, S. David, &amp; Cuffe, John. 2015. Lost autonomy, nationalism and separatism. Comparative Political Studies, 48(1), 3-34.</w:t>
      </w:r>
    </w:p>
    <w:p w14:paraId="48E7BF86"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Staniland, Paul.2014. "Violence and democracy." Comparative Politics 47, no.1: 99-118.</w:t>
      </w:r>
    </w:p>
    <w:p w14:paraId="7DAB4B5F"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Tilly, Charles. 1978. From Mobilization to Revolution. Addison-Wesley.</w:t>
      </w:r>
    </w:p>
    <w:p w14:paraId="189D1681" w14:textId="77777777" w:rsidR="00192881" w:rsidRDefault="00192881" w:rsidP="00192881">
      <w:pPr>
        <w:spacing w:after="0" w:line="240" w:lineRule="auto"/>
        <w:ind w:left="720" w:hanging="720"/>
        <w:outlineLvl w:val="2"/>
        <w:rPr>
          <w:rFonts w:asciiTheme="majorBidi" w:eastAsia="Times New Roman" w:hAnsiTheme="majorBidi" w:cstheme="majorBidi"/>
          <w:kern w:val="0"/>
          <w14:ligatures w14:val="none"/>
        </w:rPr>
      </w:pPr>
      <w:r w:rsidRPr="00192881">
        <w:rPr>
          <w:rFonts w:asciiTheme="majorBidi" w:eastAsia="Times New Roman" w:hAnsiTheme="majorBidi" w:cstheme="majorBidi"/>
          <w:kern w:val="0"/>
          <w14:ligatures w14:val="none"/>
        </w:rPr>
        <w:t xml:space="preserve">Vogt, Manuel, Nils-Christian Bormann, </w:t>
      </w:r>
      <w:proofErr w:type="spellStart"/>
      <w:r w:rsidRPr="00192881">
        <w:rPr>
          <w:rFonts w:asciiTheme="majorBidi" w:eastAsia="Times New Roman" w:hAnsiTheme="majorBidi" w:cstheme="majorBidi"/>
          <w:kern w:val="0"/>
          <w14:ligatures w14:val="none"/>
        </w:rPr>
        <w:t>Seraina</w:t>
      </w:r>
      <w:proofErr w:type="spellEnd"/>
      <w:r w:rsidRPr="00192881">
        <w:rPr>
          <w:rFonts w:asciiTheme="majorBidi" w:eastAsia="Times New Roman" w:hAnsiTheme="majorBidi" w:cstheme="majorBidi"/>
          <w:kern w:val="0"/>
          <w14:ligatures w14:val="none"/>
        </w:rPr>
        <w:t xml:space="preserve"> </w:t>
      </w:r>
      <w:proofErr w:type="spellStart"/>
      <w:r w:rsidRPr="00192881">
        <w:rPr>
          <w:rFonts w:asciiTheme="majorBidi" w:eastAsia="Times New Roman" w:hAnsiTheme="majorBidi" w:cstheme="majorBidi"/>
          <w:kern w:val="0"/>
          <w14:ligatures w14:val="none"/>
        </w:rPr>
        <w:t>Rüegger</w:t>
      </w:r>
      <w:proofErr w:type="spellEnd"/>
      <w:r w:rsidRPr="00192881">
        <w:rPr>
          <w:rFonts w:asciiTheme="majorBidi" w:eastAsia="Times New Roman" w:hAnsiTheme="majorBidi" w:cstheme="majorBidi"/>
          <w:kern w:val="0"/>
          <w14:ligatures w14:val="none"/>
        </w:rPr>
        <w:t>, Lars-Erik Cederman, Philipp Hunziker, and Luc Girardin. "Integrating data on ethnicity, geography, and conflict: The ethnic power relations data set family." Journal of Conflict Resolution 59, no. 7 (2015): 1327-1342.</w:t>
      </w:r>
    </w:p>
    <w:p w14:paraId="1533D445" w14:textId="25F73AF2" w:rsidR="00192881" w:rsidRPr="00192881" w:rsidRDefault="00192881" w:rsidP="00192881">
      <w:pPr>
        <w:spacing w:after="0" w:line="240" w:lineRule="auto"/>
        <w:ind w:left="720" w:hanging="720"/>
        <w:outlineLvl w:val="2"/>
        <w:rPr>
          <w:rFonts w:asciiTheme="majorBidi" w:eastAsia="Times New Roman" w:hAnsiTheme="majorBidi" w:cstheme="majorBidi"/>
          <w:kern w:val="0"/>
          <w14:ligatures w14:val="none"/>
        </w:rPr>
      </w:pPr>
      <w:r w:rsidRPr="00192881">
        <w:rPr>
          <w:rFonts w:asciiTheme="majorBidi" w:eastAsia="Times New Roman" w:hAnsiTheme="majorBidi" w:cstheme="majorBidi"/>
          <w:color w:val="0E0E0E"/>
          <w:kern w:val="0"/>
          <w14:ligatures w14:val="none"/>
        </w:rPr>
        <w:t>Wimmer, Andrews. 2013. Waves of war: Nationalism, state formation, and ethnic exclusion in the modern world. Cambridge University Press.</w:t>
      </w:r>
    </w:p>
    <w:p w14:paraId="00630A93" w14:textId="77777777" w:rsidR="00192881" w:rsidRPr="00192881" w:rsidRDefault="00192881" w:rsidP="00192881">
      <w:pPr>
        <w:spacing w:after="0" w:line="240" w:lineRule="auto"/>
        <w:ind w:left="720" w:hanging="720"/>
        <w:rPr>
          <w:rFonts w:asciiTheme="majorBidi" w:eastAsia="Times New Roman" w:hAnsiTheme="majorBidi" w:cstheme="majorBidi"/>
          <w:color w:val="0E0E0E"/>
          <w:kern w:val="0"/>
          <w14:ligatures w14:val="none"/>
        </w:rPr>
      </w:pPr>
      <w:r w:rsidRPr="00192881">
        <w:rPr>
          <w:rFonts w:asciiTheme="majorBidi" w:eastAsia="Times New Roman" w:hAnsiTheme="majorBidi" w:cstheme="majorBidi"/>
          <w:color w:val="0E0E0E"/>
          <w:kern w:val="0"/>
          <w14:ligatures w14:val="none"/>
        </w:rPr>
        <w:t>Wood, Elisabeth Jean. 2003. Insurgent Collective Action and Civil War in El Salvador. Cambridge University Press.</w:t>
      </w:r>
    </w:p>
    <w:sectPr w:rsidR="00192881" w:rsidRPr="00192881">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C0B3A" w14:textId="77777777" w:rsidR="00BC0F79" w:rsidRDefault="00BC0F79" w:rsidP="00474A23">
      <w:pPr>
        <w:spacing w:after="0" w:line="240" w:lineRule="auto"/>
      </w:pPr>
      <w:r>
        <w:separator/>
      </w:r>
    </w:p>
  </w:endnote>
  <w:endnote w:type="continuationSeparator" w:id="0">
    <w:p w14:paraId="11EC04E2" w14:textId="77777777" w:rsidR="00BC0F79" w:rsidRDefault="00BC0F79" w:rsidP="0047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5776013"/>
      <w:docPartObj>
        <w:docPartGallery w:val="Page Numbers (Bottom of Page)"/>
        <w:docPartUnique/>
      </w:docPartObj>
    </w:sdtPr>
    <w:sdtContent>
      <w:p w14:paraId="2F60945B" w14:textId="4EF261DB" w:rsidR="00474A23" w:rsidRDefault="00474A23" w:rsidP="00F35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5BAF4A" w14:textId="77777777" w:rsidR="00474A23" w:rsidRDefault="00474A23" w:rsidP="00474A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0436611"/>
      <w:docPartObj>
        <w:docPartGallery w:val="Page Numbers (Bottom of Page)"/>
        <w:docPartUnique/>
      </w:docPartObj>
    </w:sdtPr>
    <w:sdtContent>
      <w:p w14:paraId="1A990783" w14:textId="2BF47140" w:rsidR="00474A23" w:rsidRDefault="00474A23" w:rsidP="00F35C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61D79A" w14:textId="77777777" w:rsidR="00474A23" w:rsidRDefault="00474A23" w:rsidP="00474A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93791" w14:textId="77777777" w:rsidR="00BC0F79" w:rsidRDefault="00BC0F79" w:rsidP="00474A23">
      <w:pPr>
        <w:spacing w:after="0" w:line="240" w:lineRule="auto"/>
      </w:pPr>
      <w:r>
        <w:separator/>
      </w:r>
    </w:p>
  </w:footnote>
  <w:footnote w:type="continuationSeparator" w:id="0">
    <w:p w14:paraId="541F611D" w14:textId="77777777" w:rsidR="00BC0F79" w:rsidRDefault="00BC0F79" w:rsidP="00474A23">
      <w:pPr>
        <w:spacing w:after="0" w:line="240" w:lineRule="auto"/>
      </w:pPr>
      <w:r>
        <w:continuationSeparator/>
      </w:r>
    </w:p>
  </w:footnote>
  <w:footnote w:id="1">
    <w:p w14:paraId="7341F09D" w14:textId="4688E0CB" w:rsidR="00836E48" w:rsidRPr="00B15DF7" w:rsidRDefault="00836E48">
      <w:pPr>
        <w:pStyle w:val="FootnoteText"/>
        <w:rPr>
          <w:rFonts w:asciiTheme="majorBidi" w:hAnsiTheme="majorBidi" w:cstheme="majorBidi"/>
          <w:sz w:val="24"/>
          <w:szCs w:val="24"/>
        </w:rPr>
      </w:pPr>
      <w:r w:rsidRPr="00B15DF7">
        <w:rPr>
          <w:rStyle w:val="FootnoteReference"/>
          <w:rFonts w:asciiTheme="majorBidi" w:hAnsiTheme="majorBidi" w:cstheme="majorBidi"/>
          <w:sz w:val="24"/>
          <w:szCs w:val="24"/>
        </w:rPr>
        <w:footnoteRef/>
      </w:r>
      <w:r w:rsidRPr="00B15DF7">
        <w:rPr>
          <w:rFonts w:asciiTheme="majorBidi" w:hAnsiTheme="majorBidi" w:cstheme="majorBidi"/>
          <w:sz w:val="24"/>
          <w:szCs w:val="24"/>
        </w:rPr>
        <w:t xml:space="preserve"> A relevant study is by Chenoweth and Ulfelder (2017). They evaluate the predictive power of several prominent theoretical models in explaining the emergence nonviolent extra-institutional protest campaigns. While our study builds on their valuable </w:t>
      </w:r>
      <w:r w:rsidR="0072516A" w:rsidRPr="00B15DF7">
        <w:rPr>
          <w:rFonts w:asciiTheme="majorBidi" w:hAnsiTheme="majorBidi" w:cstheme="majorBidi"/>
          <w:sz w:val="24"/>
          <w:szCs w:val="24"/>
        </w:rPr>
        <w:t xml:space="preserve">effort, </w:t>
      </w:r>
      <w:r w:rsidR="000353EF" w:rsidRPr="00B15DF7">
        <w:rPr>
          <w:rFonts w:asciiTheme="majorBidi" w:hAnsiTheme="majorBidi" w:cstheme="majorBidi"/>
          <w:sz w:val="24"/>
          <w:szCs w:val="24"/>
        </w:rPr>
        <w:t xml:space="preserve">it </w:t>
      </w:r>
      <w:r w:rsidR="0072516A" w:rsidRPr="00B15DF7">
        <w:rPr>
          <w:rFonts w:asciiTheme="majorBidi" w:hAnsiTheme="majorBidi" w:cstheme="majorBidi"/>
          <w:sz w:val="24"/>
          <w:szCs w:val="24"/>
        </w:rPr>
        <w:t xml:space="preserve">moves beyond </w:t>
      </w:r>
      <w:r w:rsidR="000353EF" w:rsidRPr="00B15DF7">
        <w:rPr>
          <w:rFonts w:asciiTheme="majorBidi" w:hAnsiTheme="majorBidi" w:cstheme="majorBidi"/>
          <w:sz w:val="24"/>
          <w:szCs w:val="24"/>
        </w:rPr>
        <w:t>their</w:t>
      </w:r>
      <w:r w:rsidR="0072516A" w:rsidRPr="00B15DF7">
        <w:rPr>
          <w:rFonts w:asciiTheme="majorBidi" w:hAnsiTheme="majorBidi" w:cstheme="majorBidi"/>
          <w:sz w:val="24"/>
          <w:szCs w:val="24"/>
        </w:rPr>
        <w:t xml:space="preserve"> limitations by analyzing two conflict stages, employing </w:t>
      </w:r>
      <w:r w:rsidR="00BA6584" w:rsidRPr="00B15DF7">
        <w:rPr>
          <w:rFonts w:asciiTheme="majorBidi" w:hAnsiTheme="majorBidi" w:cstheme="majorBidi"/>
          <w:sz w:val="24"/>
          <w:szCs w:val="24"/>
        </w:rPr>
        <w:t xml:space="preserve">both </w:t>
      </w:r>
      <w:r w:rsidR="00B15DF7" w:rsidRPr="00B15DF7">
        <w:rPr>
          <w:rFonts w:asciiTheme="majorBidi" w:hAnsiTheme="majorBidi" w:cstheme="majorBidi"/>
          <w:sz w:val="24"/>
          <w:szCs w:val="24"/>
        </w:rPr>
        <w:t xml:space="preserve">supervised machine learning </w:t>
      </w:r>
      <w:r w:rsidR="0072516A" w:rsidRPr="00B15DF7">
        <w:rPr>
          <w:rFonts w:asciiTheme="majorBidi" w:hAnsiTheme="majorBidi" w:cstheme="majorBidi"/>
          <w:sz w:val="24"/>
          <w:szCs w:val="24"/>
        </w:rPr>
        <w:t>and logistic regression, and offering broader, more systematic coverage of self-determination movements.</w:t>
      </w:r>
    </w:p>
  </w:footnote>
  <w:footnote w:id="2">
    <w:p w14:paraId="06DDDDF9" w14:textId="42602AE5" w:rsidR="00EA5EB8" w:rsidRPr="00E570FB" w:rsidRDefault="00EA5EB8">
      <w:pPr>
        <w:pStyle w:val="FootnoteText"/>
        <w:rPr>
          <w:rFonts w:asciiTheme="majorBidi" w:hAnsiTheme="majorBidi" w:cstheme="majorBidi"/>
          <w:sz w:val="24"/>
          <w:szCs w:val="24"/>
        </w:rPr>
      </w:pPr>
      <w:r w:rsidRPr="00E570FB">
        <w:rPr>
          <w:rStyle w:val="FootnoteReference"/>
          <w:rFonts w:asciiTheme="majorBidi" w:hAnsiTheme="majorBidi" w:cstheme="majorBidi"/>
          <w:sz w:val="24"/>
          <w:szCs w:val="24"/>
        </w:rPr>
        <w:footnoteRef/>
      </w:r>
      <w:r w:rsidRPr="00E570FB">
        <w:rPr>
          <w:rFonts w:asciiTheme="majorBidi" w:hAnsiTheme="majorBidi" w:cstheme="majorBidi"/>
          <w:sz w:val="24"/>
          <w:szCs w:val="24"/>
        </w:rPr>
        <w:t xml:space="preserve"> We follow the framework established by Germann and Sambanis (2021), “Political Exclusion, Lost Autonomy, and Escalating Conflict over Self-Determination,” to distinguish between the two stages and guide their operationalization.</w:t>
      </w:r>
    </w:p>
  </w:footnote>
  <w:footnote w:id="3">
    <w:p w14:paraId="239EDCCF" w14:textId="175D032C" w:rsidR="00905F06" w:rsidRPr="00E570FB" w:rsidRDefault="00905F06" w:rsidP="00BF5B3F">
      <w:pPr>
        <w:autoSpaceDE w:val="0"/>
        <w:autoSpaceDN w:val="0"/>
        <w:adjustRightInd w:val="0"/>
        <w:spacing w:after="0" w:line="240" w:lineRule="auto"/>
        <w:rPr>
          <w:rFonts w:asciiTheme="majorBidi" w:hAnsiTheme="majorBidi" w:cstheme="majorBidi"/>
        </w:rPr>
      </w:pPr>
      <w:r w:rsidRPr="00E570FB">
        <w:rPr>
          <w:rStyle w:val="FootnoteReference"/>
          <w:rFonts w:asciiTheme="majorBidi" w:hAnsiTheme="majorBidi" w:cstheme="majorBidi"/>
        </w:rPr>
        <w:footnoteRef/>
      </w:r>
      <w:r w:rsidRPr="00E570FB">
        <w:rPr>
          <w:rFonts w:asciiTheme="majorBidi" w:hAnsiTheme="majorBidi" w:cstheme="majorBidi"/>
        </w:rPr>
        <w:t xml:space="preserve"> </w:t>
      </w:r>
      <w:r w:rsidR="00BF5B3F" w:rsidRPr="00E570FB">
        <w:rPr>
          <w:rFonts w:asciiTheme="majorBidi" w:hAnsiTheme="majorBidi" w:cstheme="majorBidi"/>
        </w:rPr>
        <w:t xml:space="preserve">The total nonviolent claims in the dataset </w:t>
      </w:r>
      <w:r w:rsidR="00EB06EF" w:rsidRPr="00E570FB">
        <w:rPr>
          <w:rFonts w:asciiTheme="majorBidi" w:hAnsiTheme="majorBidi" w:cstheme="majorBidi"/>
        </w:rPr>
        <w:t>are</w:t>
      </w:r>
      <w:r w:rsidR="00BF5B3F" w:rsidRPr="00E570FB">
        <w:rPr>
          <w:rFonts w:asciiTheme="majorBidi" w:hAnsiTheme="majorBidi" w:cstheme="majorBidi"/>
        </w:rPr>
        <w:t xml:space="preserve"> 182.</w:t>
      </w:r>
    </w:p>
  </w:footnote>
  <w:footnote w:id="4">
    <w:p w14:paraId="168CFBE5" w14:textId="408C6711" w:rsidR="008467DD" w:rsidRPr="00E570FB" w:rsidRDefault="008467DD">
      <w:pPr>
        <w:pStyle w:val="FootnoteText"/>
        <w:rPr>
          <w:rFonts w:asciiTheme="majorBidi" w:hAnsiTheme="majorBidi" w:cstheme="majorBidi"/>
          <w:sz w:val="24"/>
          <w:szCs w:val="24"/>
        </w:rPr>
      </w:pPr>
      <w:r w:rsidRPr="00E570FB">
        <w:rPr>
          <w:rStyle w:val="FootnoteReference"/>
          <w:rFonts w:asciiTheme="majorBidi" w:hAnsiTheme="majorBidi" w:cstheme="majorBidi"/>
          <w:sz w:val="24"/>
          <w:szCs w:val="24"/>
        </w:rPr>
        <w:footnoteRef/>
      </w:r>
      <w:r w:rsidRPr="00E570FB">
        <w:rPr>
          <w:rFonts w:asciiTheme="majorBidi" w:hAnsiTheme="majorBidi" w:cstheme="majorBidi"/>
          <w:sz w:val="24"/>
          <w:szCs w:val="24"/>
        </w:rPr>
        <w:t xml:space="preserve"> The total cases of firs-time escalations </w:t>
      </w:r>
      <w:r w:rsidR="00EB2252" w:rsidRPr="00E570FB">
        <w:rPr>
          <w:rFonts w:asciiTheme="majorBidi" w:hAnsiTheme="majorBidi" w:cstheme="majorBidi"/>
          <w:sz w:val="24"/>
          <w:szCs w:val="24"/>
        </w:rPr>
        <w:t>are</w:t>
      </w:r>
      <w:r w:rsidRPr="00E570FB">
        <w:rPr>
          <w:rFonts w:asciiTheme="majorBidi" w:hAnsiTheme="majorBidi" w:cstheme="majorBidi"/>
          <w:sz w:val="24"/>
          <w:szCs w:val="24"/>
        </w:rPr>
        <w:t xml:space="preserve"> 76.</w:t>
      </w:r>
    </w:p>
  </w:footnote>
  <w:footnote w:id="5">
    <w:p w14:paraId="59563F0B" w14:textId="6C1F116D" w:rsidR="0025103D" w:rsidRDefault="0025103D">
      <w:pPr>
        <w:pStyle w:val="FootnoteText"/>
      </w:pPr>
      <w:r w:rsidRPr="00E570FB">
        <w:rPr>
          <w:rStyle w:val="FootnoteReference"/>
          <w:rFonts w:asciiTheme="majorBidi" w:hAnsiTheme="majorBidi" w:cstheme="majorBidi"/>
          <w:sz w:val="24"/>
          <w:szCs w:val="24"/>
        </w:rPr>
        <w:footnoteRef/>
      </w:r>
      <w:r w:rsidRPr="00E570FB">
        <w:rPr>
          <w:rFonts w:asciiTheme="majorBidi" w:hAnsiTheme="majorBidi" w:cstheme="majorBidi"/>
          <w:sz w:val="24"/>
          <w:szCs w:val="24"/>
        </w:rPr>
        <w:t xml:space="preserve"> </w:t>
      </w:r>
      <w:r w:rsidRPr="00E570FB">
        <w:rPr>
          <w:rFonts w:asciiTheme="majorBidi" w:eastAsia="Times New Roman" w:hAnsiTheme="majorBidi" w:cstheme="majorBidi"/>
          <w:color w:val="000000"/>
          <w:kern w:val="0"/>
          <w:sz w:val="24"/>
          <w:szCs w:val="24"/>
          <w14:ligatures w14:val="none"/>
        </w:rPr>
        <w:t>For a comprehensive discussion and justification on how we choose each indicator for each theoretical model, please see Appendix-A in the supplementary documents. Some of the indicators are country level characteristics and the rest are group specific ones.</w:t>
      </w:r>
      <w:r w:rsidR="00D4181D" w:rsidRPr="00E570FB">
        <w:rPr>
          <w:rFonts w:asciiTheme="majorBidi" w:eastAsia="Times New Roman" w:hAnsiTheme="majorBidi" w:cstheme="majorBidi"/>
          <w:color w:val="000000"/>
          <w:kern w:val="0"/>
          <w:sz w:val="24"/>
          <w:szCs w:val="24"/>
          <w14:ligatures w14:val="none"/>
        </w:rPr>
        <w:t xml:space="preserve"> We analyze the sample of geographically concentrated groups for both stages since they are more likely to mobilize and escalate.</w:t>
      </w:r>
    </w:p>
  </w:footnote>
  <w:footnote w:id="6">
    <w:p w14:paraId="396B10A2" w14:textId="77777777" w:rsidR="005D3E61" w:rsidRPr="00930384" w:rsidRDefault="005D3E61" w:rsidP="005D3E61">
      <w:pPr>
        <w:pStyle w:val="FootnoteText"/>
        <w:rPr>
          <w:rFonts w:asciiTheme="majorBidi" w:hAnsiTheme="majorBidi" w:cstheme="majorBidi"/>
          <w:sz w:val="24"/>
          <w:szCs w:val="24"/>
        </w:rPr>
      </w:pPr>
      <w:r w:rsidRPr="00930384">
        <w:rPr>
          <w:rStyle w:val="FootnoteReference"/>
          <w:rFonts w:asciiTheme="majorBidi" w:hAnsiTheme="majorBidi" w:cstheme="majorBidi"/>
          <w:sz w:val="24"/>
          <w:szCs w:val="24"/>
        </w:rPr>
        <w:footnoteRef/>
      </w:r>
      <w:r w:rsidRPr="00930384">
        <w:rPr>
          <w:rFonts w:asciiTheme="majorBidi" w:hAnsiTheme="majorBidi" w:cstheme="majorBidi"/>
          <w:sz w:val="24"/>
          <w:szCs w:val="24"/>
        </w:rPr>
        <w:t xml:space="preserve"> Please see Appendix B to have a detailed and visualization of AUC confidence interval and </w:t>
      </w:r>
      <w:r w:rsidRPr="00930384">
        <w:rPr>
          <w:rStyle w:val="Strong"/>
          <w:rFonts w:asciiTheme="majorBidi" w:hAnsiTheme="majorBidi" w:cstheme="majorBidi"/>
          <w:b w:val="0"/>
          <w:bCs w:val="0"/>
          <w:sz w:val="24"/>
          <w:szCs w:val="24"/>
        </w:rPr>
        <w:t xml:space="preserve">DeLong </w:t>
      </w:r>
      <w:r w:rsidRPr="00930384">
        <w:rPr>
          <w:rFonts w:asciiTheme="majorBidi" w:hAnsiTheme="majorBidi" w:cstheme="majorBidi"/>
          <w:sz w:val="24"/>
          <w:szCs w:val="24"/>
        </w:rPr>
        <w:t xml:space="preserve">test on all models.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C74C5"/>
    <w:multiLevelType w:val="multilevel"/>
    <w:tmpl w:val="E68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1383B"/>
    <w:multiLevelType w:val="multilevel"/>
    <w:tmpl w:val="BFC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B0A11"/>
    <w:multiLevelType w:val="multilevel"/>
    <w:tmpl w:val="B2FC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23E87"/>
    <w:multiLevelType w:val="multilevel"/>
    <w:tmpl w:val="E09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F40AC"/>
    <w:multiLevelType w:val="multilevel"/>
    <w:tmpl w:val="96E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F79AA"/>
    <w:multiLevelType w:val="multilevel"/>
    <w:tmpl w:val="8FE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D3D0F"/>
    <w:multiLevelType w:val="multilevel"/>
    <w:tmpl w:val="311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12D88"/>
    <w:multiLevelType w:val="multilevel"/>
    <w:tmpl w:val="FBF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958428">
    <w:abstractNumId w:val="5"/>
  </w:num>
  <w:num w:numId="2" w16cid:durableId="209389691">
    <w:abstractNumId w:val="6"/>
  </w:num>
  <w:num w:numId="3" w16cid:durableId="2008482556">
    <w:abstractNumId w:val="0"/>
  </w:num>
  <w:num w:numId="4" w16cid:durableId="79762723">
    <w:abstractNumId w:val="2"/>
  </w:num>
  <w:num w:numId="5" w16cid:durableId="1203445401">
    <w:abstractNumId w:val="4"/>
  </w:num>
  <w:num w:numId="6" w16cid:durableId="1501195616">
    <w:abstractNumId w:val="7"/>
  </w:num>
  <w:num w:numId="7" w16cid:durableId="1788155672">
    <w:abstractNumId w:val="1"/>
  </w:num>
  <w:num w:numId="8" w16cid:durableId="1074275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74"/>
    <w:rsid w:val="000021D7"/>
    <w:rsid w:val="0000442A"/>
    <w:rsid w:val="00007303"/>
    <w:rsid w:val="0000766F"/>
    <w:rsid w:val="00010097"/>
    <w:rsid w:val="00010E86"/>
    <w:rsid w:val="000116E8"/>
    <w:rsid w:val="00012311"/>
    <w:rsid w:val="000123CF"/>
    <w:rsid w:val="000133E4"/>
    <w:rsid w:val="00017E4D"/>
    <w:rsid w:val="000222EF"/>
    <w:rsid w:val="00022F4C"/>
    <w:rsid w:val="00027683"/>
    <w:rsid w:val="00027787"/>
    <w:rsid w:val="00030AFA"/>
    <w:rsid w:val="00030D06"/>
    <w:rsid w:val="0003175A"/>
    <w:rsid w:val="000353EF"/>
    <w:rsid w:val="0004454E"/>
    <w:rsid w:val="00044591"/>
    <w:rsid w:val="000507E5"/>
    <w:rsid w:val="000577DF"/>
    <w:rsid w:val="00057A94"/>
    <w:rsid w:val="00070BBE"/>
    <w:rsid w:val="00076E74"/>
    <w:rsid w:val="00077397"/>
    <w:rsid w:val="0008464F"/>
    <w:rsid w:val="000851C1"/>
    <w:rsid w:val="00085A2C"/>
    <w:rsid w:val="000875F5"/>
    <w:rsid w:val="00091984"/>
    <w:rsid w:val="00091B1D"/>
    <w:rsid w:val="00095868"/>
    <w:rsid w:val="000A1BE7"/>
    <w:rsid w:val="000A617E"/>
    <w:rsid w:val="000B0B3A"/>
    <w:rsid w:val="000B17A2"/>
    <w:rsid w:val="000B1AA6"/>
    <w:rsid w:val="000B29EA"/>
    <w:rsid w:val="000C03F8"/>
    <w:rsid w:val="000C2E14"/>
    <w:rsid w:val="000C5A19"/>
    <w:rsid w:val="000C613A"/>
    <w:rsid w:val="000D3046"/>
    <w:rsid w:val="000D32C7"/>
    <w:rsid w:val="000D3DEE"/>
    <w:rsid w:val="000D4C0B"/>
    <w:rsid w:val="000D5367"/>
    <w:rsid w:val="000D6079"/>
    <w:rsid w:val="000E0527"/>
    <w:rsid w:val="000E2C46"/>
    <w:rsid w:val="000F0750"/>
    <w:rsid w:val="000F5F5B"/>
    <w:rsid w:val="000F7999"/>
    <w:rsid w:val="001001AC"/>
    <w:rsid w:val="0010065C"/>
    <w:rsid w:val="00101FD1"/>
    <w:rsid w:val="00103057"/>
    <w:rsid w:val="00117A57"/>
    <w:rsid w:val="00120800"/>
    <w:rsid w:val="001229CC"/>
    <w:rsid w:val="0012575A"/>
    <w:rsid w:val="00125E2C"/>
    <w:rsid w:val="00132DB9"/>
    <w:rsid w:val="0014003F"/>
    <w:rsid w:val="00140BB3"/>
    <w:rsid w:val="00160753"/>
    <w:rsid w:val="00167BFE"/>
    <w:rsid w:val="00171CD1"/>
    <w:rsid w:val="0017277A"/>
    <w:rsid w:val="00175427"/>
    <w:rsid w:val="001776B3"/>
    <w:rsid w:val="001810F5"/>
    <w:rsid w:val="0018558A"/>
    <w:rsid w:val="00192881"/>
    <w:rsid w:val="001A0CDC"/>
    <w:rsid w:val="001A0F5E"/>
    <w:rsid w:val="001A20CA"/>
    <w:rsid w:val="001A63AB"/>
    <w:rsid w:val="001A751E"/>
    <w:rsid w:val="001B48EE"/>
    <w:rsid w:val="001B6150"/>
    <w:rsid w:val="001B700E"/>
    <w:rsid w:val="001C12E8"/>
    <w:rsid w:val="001C3C1D"/>
    <w:rsid w:val="001D1E26"/>
    <w:rsid w:val="001D349E"/>
    <w:rsid w:val="001E61EF"/>
    <w:rsid w:val="001F7E4A"/>
    <w:rsid w:val="00203731"/>
    <w:rsid w:val="00206984"/>
    <w:rsid w:val="00206EE4"/>
    <w:rsid w:val="00210B30"/>
    <w:rsid w:val="00215ADF"/>
    <w:rsid w:val="0021758F"/>
    <w:rsid w:val="002212E5"/>
    <w:rsid w:val="00223EC5"/>
    <w:rsid w:val="0022468E"/>
    <w:rsid w:val="00224AA0"/>
    <w:rsid w:val="002252EB"/>
    <w:rsid w:val="00230246"/>
    <w:rsid w:val="00230C0E"/>
    <w:rsid w:val="0023208A"/>
    <w:rsid w:val="00232888"/>
    <w:rsid w:val="00234A11"/>
    <w:rsid w:val="0024270E"/>
    <w:rsid w:val="00250178"/>
    <w:rsid w:val="0025103D"/>
    <w:rsid w:val="00253646"/>
    <w:rsid w:val="00253FA1"/>
    <w:rsid w:val="00254C3F"/>
    <w:rsid w:val="00270EA0"/>
    <w:rsid w:val="002765D5"/>
    <w:rsid w:val="002813F6"/>
    <w:rsid w:val="002911CD"/>
    <w:rsid w:val="0029400A"/>
    <w:rsid w:val="002948DA"/>
    <w:rsid w:val="002955A6"/>
    <w:rsid w:val="00297EA7"/>
    <w:rsid w:val="002A0FE5"/>
    <w:rsid w:val="002A19B2"/>
    <w:rsid w:val="002A2D0C"/>
    <w:rsid w:val="002A667E"/>
    <w:rsid w:val="002B0881"/>
    <w:rsid w:val="002B09D4"/>
    <w:rsid w:val="002B485E"/>
    <w:rsid w:val="002B7963"/>
    <w:rsid w:val="002C046B"/>
    <w:rsid w:val="002C3417"/>
    <w:rsid w:val="002C7C5F"/>
    <w:rsid w:val="002D14E5"/>
    <w:rsid w:val="002D35B1"/>
    <w:rsid w:val="002D55DF"/>
    <w:rsid w:val="002E10F0"/>
    <w:rsid w:val="002E3635"/>
    <w:rsid w:val="002F49C0"/>
    <w:rsid w:val="002F5C27"/>
    <w:rsid w:val="002F7F73"/>
    <w:rsid w:val="003052CF"/>
    <w:rsid w:val="00307B8D"/>
    <w:rsid w:val="00312DA2"/>
    <w:rsid w:val="00314245"/>
    <w:rsid w:val="00317F85"/>
    <w:rsid w:val="00335EA9"/>
    <w:rsid w:val="003362DB"/>
    <w:rsid w:val="0034309C"/>
    <w:rsid w:val="00343E42"/>
    <w:rsid w:val="00343F3B"/>
    <w:rsid w:val="00344A58"/>
    <w:rsid w:val="0034537C"/>
    <w:rsid w:val="00345905"/>
    <w:rsid w:val="003547A4"/>
    <w:rsid w:val="0035613F"/>
    <w:rsid w:val="00363BBE"/>
    <w:rsid w:val="0036625B"/>
    <w:rsid w:val="00370407"/>
    <w:rsid w:val="00371692"/>
    <w:rsid w:val="00375F40"/>
    <w:rsid w:val="003814AC"/>
    <w:rsid w:val="0038202F"/>
    <w:rsid w:val="00384DA3"/>
    <w:rsid w:val="00385F4E"/>
    <w:rsid w:val="00387C4A"/>
    <w:rsid w:val="003904CC"/>
    <w:rsid w:val="0039273D"/>
    <w:rsid w:val="00394E2A"/>
    <w:rsid w:val="003A435F"/>
    <w:rsid w:val="003A65EC"/>
    <w:rsid w:val="003C048E"/>
    <w:rsid w:val="003C73A3"/>
    <w:rsid w:val="003D2A65"/>
    <w:rsid w:val="003D59F8"/>
    <w:rsid w:val="003D6936"/>
    <w:rsid w:val="003E4D09"/>
    <w:rsid w:val="003E6404"/>
    <w:rsid w:val="003F00E6"/>
    <w:rsid w:val="003F3FB4"/>
    <w:rsid w:val="003F663F"/>
    <w:rsid w:val="003F6D94"/>
    <w:rsid w:val="00406389"/>
    <w:rsid w:val="0041060D"/>
    <w:rsid w:val="00411FC9"/>
    <w:rsid w:val="004162C9"/>
    <w:rsid w:val="00421CCB"/>
    <w:rsid w:val="00423029"/>
    <w:rsid w:val="00431AFC"/>
    <w:rsid w:val="004370FF"/>
    <w:rsid w:val="00442DB1"/>
    <w:rsid w:val="00447B0A"/>
    <w:rsid w:val="00451E7C"/>
    <w:rsid w:val="004522F9"/>
    <w:rsid w:val="004533F3"/>
    <w:rsid w:val="00454BA1"/>
    <w:rsid w:val="004573A1"/>
    <w:rsid w:val="0046437F"/>
    <w:rsid w:val="00471D36"/>
    <w:rsid w:val="00472574"/>
    <w:rsid w:val="00473726"/>
    <w:rsid w:val="00474A23"/>
    <w:rsid w:val="00485FA5"/>
    <w:rsid w:val="00486192"/>
    <w:rsid w:val="00490279"/>
    <w:rsid w:val="004A1713"/>
    <w:rsid w:val="004A7A86"/>
    <w:rsid w:val="004B1F79"/>
    <w:rsid w:val="004C2C28"/>
    <w:rsid w:val="004C3D4F"/>
    <w:rsid w:val="004D0DE1"/>
    <w:rsid w:val="004D6BA4"/>
    <w:rsid w:val="004E03A3"/>
    <w:rsid w:val="004E3EFB"/>
    <w:rsid w:val="004F6A07"/>
    <w:rsid w:val="005111F7"/>
    <w:rsid w:val="0051207A"/>
    <w:rsid w:val="00513744"/>
    <w:rsid w:val="0051709D"/>
    <w:rsid w:val="00520988"/>
    <w:rsid w:val="00527271"/>
    <w:rsid w:val="00527CE8"/>
    <w:rsid w:val="005327AA"/>
    <w:rsid w:val="005417E6"/>
    <w:rsid w:val="0055327D"/>
    <w:rsid w:val="00557794"/>
    <w:rsid w:val="00561D7D"/>
    <w:rsid w:val="0056382E"/>
    <w:rsid w:val="005659C1"/>
    <w:rsid w:val="00566060"/>
    <w:rsid w:val="005739A1"/>
    <w:rsid w:val="00574815"/>
    <w:rsid w:val="00581445"/>
    <w:rsid w:val="00582614"/>
    <w:rsid w:val="0058556D"/>
    <w:rsid w:val="005927A9"/>
    <w:rsid w:val="005A3D36"/>
    <w:rsid w:val="005A4AC7"/>
    <w:rsid w:val="005A4FF5"/>
    <w:rsid w:val="005A6502"/>
    <w:rsid w:val="005A689D"/>
    <w:rsid w:val="005A7CE7"/>
    <w:rsid w:val="005B2ED9"/>
    <w:rsid w:val="005C14D3"/>
    <w:rsid w:val="005C3407"/>
    <w:rsid w:val="005C6C4A"/>
    <w:rsid w:val="005D1FEB"/>
    <w:rsid w:val="005D3E61"/>
    <w:rsid w:val="005D4812"/>
    <w:rsid w:val="005E630C"/>
    <w:rsid w:val="005E67B6"/>
    <w:rsid w:val="005F0FE1"/>
    <w:rsid w:val="005F3F46"/>
    <w:rsid w:val="0060155A"/>
    <w:rsid w:val="00612A0A"/>
    <w:rsid w:val="00614E61"/>
    <w:rsid w:val="00621993"/>
    <w:rsid w:val="006219E6"/>
    <w:rsid w:val="0062228F"/>
    <w:rsid w:val="0063086A"/>
    <w:rsid w:val="00641F1E"/>
    <w:rsid w:val="00643379"/>
    <w:rsid w:val="00652C77"/>
    <w:rsid w:val="0065463F"/>
    <w:rsid w:val="00660854"/>
    <w:rsid w:val="006631F4"/>
    <w:rsid w:val="00670318"/>
    <w:rsid w:val="006719EE"/>
    <w:rsid w:val="00674ED7"/>
    <w:rsid w:val="00681F74"/>
    <w:rsid w:val="00682201"/>
    <w:rsid w:val="00685B75"/>
    <w:rsid w:val="006958D9"/>
    <w:rsid w:val="006A084D"/>
    <w:rsid w:val="006A5905"/>
    <w:rsid w:val="006B2022"/>
    <w:rsid w:val="006B27A9"/>
    <w:rsid w:val="006B4F0F"/>
    <w:rsid w:val="006B761E"/>
    <w:rsid w:val="006C2F29"/>
    <w:rsid w:val="006D1223"/>
    <w:rsid w:val="006D69D0"/>
    <w:rsid w:val="006D72A2"/>
    <w:rsid w:val="006E28B6"/>
    <w:rsid w:val="006F1799"/>
    <w:rsid w:val="006F2EF5"/>
    <w:rsid w:val="00702B1E"/>
    <w:rsid w:val="00710617"/>
    <w:rsid w:val="007110E8"/>
    <w:rsid w:val="00725060"/>
    <w:rsid w:val="0072516A"/>
    <w:rsid w:val="00725786"/>
    <w:rsid w:val="00726A62"/>
    <w:rsid w:val="00734AE5"/>
    <w:rsid w:val="0073730F"/>
    <w:rsid w:val="007407F7"/>
    <w:rsid w:val="00741FF3"/>
    <w:rsid w:val="00744654"/>
    <w:rsid w:val="00745B59"/>
    <w:rsid w:val="00747DDC"/>
    <w:rsid w:val="00750B7D"/>
    <w:rsid w:val="007527D0"/>
    <w:rsid w:val="007541D6"/>
    <w:rsid w:val="00754487"/>
    <w:rsid w:val="007556F5"/>
    <w:rsid w:val="007602EC"/>
    <w:rsid w:val="007710E3"/>
    <w:rsid w:val="00771775"/>
    <w:rsid w:val="00774D59"/>
    <w:rsid w:val="00776A9C"/>
    <w:rsid w:val="0078234E"/>
    <w:rsid w:val="00786639"/>
    <w:rsid w:val="0079476A"/>
    <w:rsid w:val="00794F98"/>
    <w:rsid w:val="00795862"/>
    <w:rsid w:val="00797676"/>
    <w:rsid w:val="007B0444"/>
    <w:rsid w:val="007B5328"/>
    <w:rsid w:val="007B54CE"/>
    <w:rsid w:val="007B6302"/>
    <w:rsid w:val="007B655F"/>
    <w:rsid w:val="007C6318"/>
    <w:rsid w:val="007D2070"/>
    <w:rsid w:val="007E0938"/>
    <w:rsid w:val="007E171F"/>
    <w:rsid w:val="007E34EA"/>
    <w:rsid w:val="007E3DA7"/>
    <w:rsid w:val="007F00C8"/>
    <w:rsid w:val="007F0B67"/>
    <w:rsid w:val="007F151F"/>
    <w:rsid w:val="007F2287"/>
    <w:rsid w:val="007F4A27"/>
    <w:rsid w:val="00800045"/>
    <w:rsid w:val="008014F9"/>
    <w:rsid w:val="0080423F"/>
    <w:rsid w:val="00804660"/>
    <w:rsid w:val="00807892"/>
    <w:rsid w:val="0081295D"/>
    <w:rsid w:val="008147E7"/>
    <w:rsid w:val="00827040"/>
    <w:rsid w:val="00830E78"/>
    <w:rsid w:val="00832165"/>
    <w:rsid w:val="008323DC"/>
    <w:rsid w:val="00832DE8"/>
    <w:rsid w:val="00833B20"/>
    <w:rsid w:val="00836E48"/>
    <w:rsid w:val="00837D9D"/>
    <w:rsid w:val="00840735"/>
    <w:rsid w:val="008425AB"/>
    <w:rsid w:val="008467DD"/>
    <w:rsid w:val="008623E9"/>
    <w:rsid w:val="008634A1"/>
    <w:rsid w:val="0086436B"/>
    <w:rsid w:val="00867EE1"/>
    <w:rsid w:val="00890361"/>
    <w:rsid w:val="00890F15"/>
    <w:rsid w:val="0089229A"/>
    <w:rsid w:val="0089250F"/>
    <w:rsid w:val="00893EAB"/>
    <w:rsid w:val="00895320"/>
    <w:rsid w:val="00895857"/>
    <w:rsid w:val="008A1293"/>
    <w:rsid w:val="008A4F85"/>
    <w:rsid w:val="008A7DF1"/>
    <w:rsid w:val="008B2F73"/>
    <w:rsid w:val="008B3A43"/>
    <w:rsid w:val="008B5AAD"/>
    <w:rsid w:val="008B668E"/>
    <w:rsid w:val="008B776F"/>
    <w:rsid w:val="008C141B"/>
    <w:rsid w:val="008D0828"/>
    <w:rsid w:val="008D2151"/>
    <w:rsid w:val="008D3080"/>
    <w:rsid w:val="008D5FDD"/>
    <w:rsid w:val="008E3C88"/>
    <w:rsid w:val="008E4A9C"/>
    <w:rsid w:val="008E4B42"/>
    <w:rsid w:val="008F4579"/>
    <w:rsid w:val="008F58CC"/>
    <w:rsid w:val="008F680A"/>
    <w:rsid w:val="00902B5C"/>
    <w:rsid w:val="009038AC"/>
    <w:rsid w:val="009048A4"/>
    <w:rsid w:val="00905945"/>
    <w:rsid w:val="00905C4E"/>
    <w:rsid w:val="00905F06"/>
    <w:rsid w:val="0091127E"/>
    <w:rsid w:val="009138F0"/>
    <w:rsid w:val="00913E16"/>
    <w:rsid w:val="00916D23"/>
    <w:rsid w:val="0092044A"/>
    <w:rsid w:val="00920B60"/>
    <w:rsid w:val="00922FBB"/>
    <w:rsid w:val="0092681A"/>
    <w:rsid w:val="00930384"/>
    <w:rsid w:val="009304C1"/>
    <w:rsid w:val="00931648"/>
    <w:rsid w:val="0093319A"/>
    <w:rsid w:val="00933AC8"/>
    <w:rsid w:val="00937E90"/>
    <w:rsid w:val="009407A1"/>
    <w:rsid w:val="0094130F"/>
    <w:rsid w:val="0094216D"/>
    <w:rsid w:val="00945704"/>
    <w:rsid w:val="00951C41"/>
    <w:rsid w:val="00960E16"/>
    <w:rsid w:val="0096243E"/>
    <w:rsid w:val="009647AA"/>
    <w:rsid w:val="00967AB8"/>
    <w:rsid w:val="0097135C"/>
    <w:rsid w:val="00971382"/>
    <w:rsid w:val="009723E6"/>
    <w:rsid w:val="00974199"/>
    <w:rsid w:val="0097450C"/>
    <w:rsid w:val="009760E8"/>
    <w:rsid w:val="00976851"/>
    <w:rsid w:val="00981383"/>
    <w:rsid w:val="00984247"/>
    <w:rsid w:val="0099048F"/>
    <w:rsid w:val="00995D26"/>
    <w:rsid w:val="009A0238"/>
    <w:rsid w:val="009B0AEA"/>
    <w:rsid w:val="009B67DC"/>
    <w:rsid w:val="009B734A"/>
    <w:rsid w:val="009C4034"/>
    <w:rsid w:val="009C5522"/>
    <w:rsid w:val="009C59F0"/>
    <w:rsid w:val="009D0699"/>
    <w:rsid w:val="009D1474"/>
    <w:rsid w:val="009E10F0"/>
    <w:rsid w:val="009E6622"/>
    <w:rsid w:val="009E66E9"/>
    <w:rsid w:val="009E7C25"/>
    <w:rsid w:val="009E7C82"/>
    <w:rsid w:val="009F1C9E"/>
    <w:rsid w:val="009F52E9"/>
    <w:rsid w:val="00A00BBC"/>
    <w:rsid w:val="00A01B93"/>
    <w:rsid w:val="00A03CE3"/>
    <w:rsid w:val="00A06E5E"/>
    <w:rsid w:val="00A102FA"/>
    <w:rsid w:val="00A11414"/>
    <w:rsid w:val="00A11B93"/>
    <w:rsid w:val="00A122C6"/>
    <w:rsid w:val="00A158E1"/>
    <w:rsid w:val="00A23549"/>
    <w:rsid w:val="00A236C5"/>
    <w:rsid w:val="00A24EB0"/>
    <w:rsid w:val="00A25D53"/>
    <w:rsid w:val="00A3033B"/>
    <w:rsid w:val="00A41E21"/>
    <w:rsid w:val="00A43F20"/>
    <w:rsid w:val="00A4717C"/>
    <w:rsid w:val="00A47474"/>
    <w:rsid w:val="00A603BF"/>
    <w:rsid w:val="00A60CC5"/>
    <w:rsid w:val="00A62FD5"/>
    <w:rsid w:val="00A63E37"/>
    <w:rsid w:val="00A66552"/>
    <w:rsid w:val="00A66583"/>
    <w:rsid w:val="00A67AF1"/>
    <w:rsid w:val="00A73C20"/>
    <w:rsid w:val="00A7651A"/>
    <w:rsid w:val="00A81F6B"/>
    <w:rsid w:val="00A82A71"/>
    <w:rsid w:val="00A82FAD"/>
    <w:rsid w:val="00A83253"/>
    <w:rsid w:val="00A8598A"/>
    <w:rsid w:val="00A93ACD"/>
    <w:rsid w:val="00AA26E6"/>
    <w:rsid w:val="00AA6A8B"/>
    <w:rsid w:val="00AA7F01"/>
    <w:rsid w:val="00AB2662"/>
    <w:rsid w:val="00AB601E"/>
    <w:rsid w:val="00AB6281"/>
    <w:rsid w:val="00AC057E"/>
    <w:rsid w:val="00AC421A"/>
    <w:rsid w:val="00AC7B48"/>
    <w:rsid w:val="00AC7D38"/>
    <w:rsid w:val="00AD695B"/>
    <w:rsid w:val="00AE34E0"/>
    <w:rsid w:val="00AE71D2"/>
    <w:rsid w:val="00AF2A5B"/>
    <w:rsid w:val="00AF2E5E"/>
    <w:rsid w:val="00B00DF8"/>
    <w:rsid w:val="00B01123"/>
    <w:rsid w:val="00B034DA"/>
    <w:rsid w:val="00B03661"/>
    <w:rsid w:val="00B06C24"/>
    <w:rsid w:val="00B10A7B"/>
    <w:rsid w:val="00B12488"/>
    <w:rsid w:val="00B1464D"/>
    <w:rsid w:val="00B15DF7"/>
    <w:rsid w:val="00B16EB7"/>
    <w:rsid w:val="00B174C9"/>
    <w:rsid w:val="00B20B0C"/>
    <w:rsid w:val="00B21462"/>
    <w:rsid w:val="00B21914"/>
    <w:rsid w:val="00B25A0C"/>
    <w:rsid w:val="00B26504"/>
    <w:rsid w:val="00B26ACD"/>
    <w:rsid w:val="00B34519"/>
    <w:rsid w:val="00B34E70"/>
    <w:rsid w:val="00B404C2"/>
    <w:rsid w:val="00B4489B"/>
    <w:rsid w:val="00B515F8"/>
    <w:rsid w:val="00B5519D"/>
    <w:rsid w:val="00B560BB"/>
    <w:rsid w:val="00B57BCC"/>
    <w:rsid w:val="00B6540A"/>
    <w:rsid w:val="00B74497"/>
    <w:rsid w:val="00B76D92"/>
    <w:rsid w:val="00B770F4"/>
    <w:rsid w:val="00B8015A"/>
    <w:rsid w:val="00B87E9A"/>
    <w:rsid w:val="00B95348"/>
    <w:rsid w:val="00B9645B"/>
    <w:rsid w:val="00BA0688"/>
    <w:rsid w:val="00BA59C9"/>
    <w:rsid w:val="00BA6584"/>
    <w:rsid w:val="00BB13F0"/>
    <w:rsid w:val="00BB4656"/>
    <w:rsid w:val="00BB69A0"/>
    <w:rsid w:val="00BB75F3"/>
    <w:rsid w:val="00BC0F79"/>
    <w:rsid w:val="00BC579E"/>
    <w:rsid w:val="00BD2087"/>
    <w:rsid w:val="00BD714C"/>
    <w:rsid w:val="00BE4909"/>
    <w:rsid w:val="00BE6A15"/>
    <w:rsid w:val="00BE7D17"/>
    <w:rsid w:val="00BF058F"/>
    <w:rsid w:val="00BF5B3F"/>
    <w:rsid w:val="00C037CB"/>
    <w:rsid w:val="00C0479D"/>
    <w:rsid w:val="00C125D8"/>
    <w:rsid w:val="00C13C81"/>
    <w:rsid w:val="00C22000"/>
    <w:rsid w:val="00C24A15"/>
    <w:rsid w:val="00C24E36"/>
    <w:rsid w:val="00C3649C"/>
    <w:rsid w:val="00C37424"/>
    <w:rsid w:val="00C40124"/>
    <w:rsid w:val="00C42B1B"/>
    <w:rsid w:val="00C4401A"/>
    <w:rsid w:val="00C456DE"/>
    <w:rsid w:val="00C50889"/>
    <w:rsid w:val="00C5588A"/>
    <w:rsid w:val="00C61390"/>
    <w:rsid w:val="00C676E9"/>
    <w:rsid w:val="00C72BBE"/>
    <w:rsid w:val="00C7363C"/>
    <w:rsid w:val="00C751B1"/>
    <w:rsid w:val="00C75976"/>
    <w:rsid w:val="00C80DDD"/>
    <w:rsid w:val="00C81B0C"/>
    <w:rsid w:val="00C844E3"/>
    <w:rsid w:val="00C84755"/>
    <w:rsid w:val="00C90148"/>
    <w:rsid w:val="00C93892"/>
    <w:rsid w:val="00C93DED"/>
    <w:rsid w:val="00C93DF3"/>
    <w:rsid w:val="00C96EFC"/>
    <w:rsid w:val="00CA5D77"/>
    <w:rsid w:val="00CC1D83"/>
    <w:rsid w:val="00CC63D7"/>
    <w:rsid w:val="00CD0B81"/>
    <w:rsid w:val="00CD6135"/>
    <w:rsid w:val="00CE4DBC"/>
    <w:rsid w:val="00CE6D1A"/>
    <w:rsid w:val="00CE6FAC"/>
    <w:rsid w:val="00CE7796"/>
    <w:rsid w:val="00CF0353"/>
    <w:rsid w:val="00CF0B68"/>
    <w:rsid w:val="00CF0F2E"/>
    <w:rsid w:val="00CF3876"/>
    <w:rsid w:val="00CF5FCB"/>
    <w:rsid w:val="00CF68EB"/>
    <w:rsid w:val="00CF697F"/>
    <w:rsid w:val="00D005E7"/>
    <w:rsid w:val="00D03B4F"/>
    <w:rsid w:val="00D128E7"/>
    <w:rsid w:val="00D26981"/>
    <w:rsid w:val="00D30718"/>
    <w:rsid w:val="00D31731"/>
    <w:rsid w:val="00D318D8"/>
    <w:rsid w:val="00D3422E"/>
    <w:rsid w:val="00D3644A"/>
    <w:rsid w:val="00D40458"/>
    <w:rsid w:val="00D4181D"/>
    <w:rsid w:val="00D438E9"/>
    <w:rsid w:val="00D47AD3"/>
    <w:rsid w:val="00D47C05"/>
    <w:rsid w:val="00D53487"/>
    <w:rsid w:val="00D56AD7"/>
    <w:rsid w:val="00D6394F"/>
    <w:rsid w:val="00D63AD6"/>
    <w:rsid w:val="00D64DC4"/>
    <w:rsid w:val="00D65D4F"/>
    <w:rsid w:val="00D66512"/>
    <w:rsid w:val="00D76E51"/>
    <w:rsid w:val="00D770D1"/>
    <w:rsid w:val="00D80EE1"/>
    <w:rsid w:val="00D83DC3"/>
    <w:rsid w:val="00D86E2E"/>
    <w:rsid w:val="00D872D9"/>
    <w:rsid w:val="00D91902"/>
    <w:rsid w:val="00D9503E"/>
    <w:rsid w:val="00DA459D"/>
    <w:rsid w:val="00DA4A14"/>
    <w:rsid w:val="00DA7097"/>
    <w:rsid w:val="00DB07BD"/>
    <w:rsid w:val="00DB264D"/>
    <w:rsid w:val="00DB37D3"/>
    <w:rsid w:val="00DB445B"/>
    <w:rsid w:val="00DB5337"/>
    <w:rsid w:val="00DB5561"/>
    <w:rsid w:val="00DB6F8F"/>
    <w:rsid w:val="00DB77EB"/>
    <w:rsid w:val="00DC0A7E"/>
    <w:rsid w:val="00DC28F2"/>
    <w:rsid w:val="00DD20B1"/>
    <w:rsid w:val="00DD27A1"/>
    <w:rsid w:val="00DE554C"/>
    <w:rsid w:val="00DF1579"/>
    <w:rsid w:val="00DF4920"/>
    <w:rsid w:val="00DF5B50"/>
    <w:rsid w:val="00E00F0A"/>
    <w:rsid w:val="00E03972"/>
    <w:rsid w:val="00E04785"/>
    <w:rsid w:val="00E05BBB"/>
    <w:rsid w:val="00E1188B"/>
    <w:rsid w:val="00E12752"/>
    <w:rsid w:val="00E13563"/>
    <w:rsid w:val="00E16975"/>
    <w:rsid w:val="00E21797"/>
    <w:rsid w:val="00E21E70"/>
    <w:rsid w:val="00E27593"/>
    <w:rsid w:val="00E32749"/>
    <w:rsid w:val="00E433C3"/>
    <w:rsid w:val="00E521A6"/>
    <w:rsid w:val="00E52A23"/>
    <w:rsid w:val="00E570FB"/>
    <w:rsid w:val="00E64EF0"/>
    <w:rsid w:val="00E66245"/>
    <w:rsid w:val="00E6627B"/>
    <w:rsid w:val="00E677A2"/>
    <w:rsid w:val="00E722AE"/>
    <w:rsid w:val="00E73DE0"/>
    <w:rsid w:val="00E748E5"/>
    <w:rsid w:val="00E77C3A"/>
    <w:rsid w:val="00E84B6F"/>
    <w:rsid w:val="00E855D3"/>
    <w:rsid w:val="00E900F4"/>
    <w:rsid w:val="00E91812"/>
    <w:rsid w:val="00E968E6"/>
    <w:rsid w:val="00EA1434"/>
    <w:rsid w:val="00EA2FCF"/>
    <w:rsid w:val="00EA44CC"/>
    <w:rsid w:val="00EA5EB8"/>
    <w:rsid w:val="00EB06EF"/>
    <w:rsid w:val="00EB1311"/>
    <w:rsid w:val="00EB2252"/>
    <w:rsid w:val="00EB4BA7"/>
    <w:rsid w:val="00EB4DAB"/>
    <w:rsid w:val="00EB628E"/>
    <w:rsid w:val="00EC54D3"/>
    <w:rsid w:val="00EC6D47"/>
    <w:rsid w:val="00ED40CC"/>
    <w:rsid w:val="00ED77F2"/>
    <w:rsid w:val="00EE0A6D"/>
    <w:rsid w:val="00EE14ED"/>
    <w:rsid w:val="00EF3CDC"/>
    <w:rsid w:val="00F02EF9"/>
    <w:rsid w:val="00F103D0"/>
    <w:rsid w:val="00F15292"/>
    <w:rsid w:val="00F15A44"/>
    <w:rsid w:val="00F16093"/>
    <w:rsid w:val="00F21192"/>
    <w:rsid w:val="00F213E6"/>
    <w:rsid w:val="00F227F2"/>
    <w:rsid w:val="00F228CF"/>
    <w:rsid w:val="00F22D62"/>
    <w:rsid w:val="00F30166"/>
    <w:rsid w:val="00F320C6"/>
    <w:rsid w:val="00F34A32"/>
    <w:rsid w:val="00F37A11"/>
    <w:rsid w:val="00F43114"/>
    <w:rsid w:val="00F46B66"/>
    <w:rsid w:val="00F50B26"/>
    <w:rsid w:val="00F535B9"/>
    <w:rsid w:val="00F616E9"/>
    <w:rsid w:val="00F62DEC"/>
    <w:rsid w:val="00F63196"/>
    <w:rsid w:val="00F63E3B"/>
    <w:rsid w:val="00F6668C"/>
    <w:rsid w:val="00F70CEE"/>
    <w:rsid w:val="00F71C2F"/>
    <w:rsid w:val="00F72026"/>
    <w:rsid w:val="00F8475C"/>
    <w:rsid w:val="00F87F6A"/>
    <w:rsid w:val="00F91A01"/>
    <w:rsid w:val="00F9648C"/>
    <w:rsid w:val="00FA01E3"/>
    <w:rsid w:val="00FA0390"/>
    <w:rsid w:val="00FA1D49"/>
    <w:rsid w:val="00FA2A3C"/>
    <w:rsid w:val="00FB15AC"/>
    <w:rsid w:val="00FC360F"/>
    <w:rsid w:val="00FC461C"/>
    <w:rsid w:val="00FC5856"/>
    <w:rsid w:val="00FC5AB1"/>
    <w:rsid w:val="00FD035F"/>
    <w:rsid w:val="00FD1FD7"/>
    <w:rsid w:val="00FF0868"/>
    <w:rsid w:val="00FF560C"/>
    <w:rsid w:val="00FF5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DC6A"/>
  <w15:chartTrackingRefBased/>
  <w15:docId w15:val="{53FCA7BB-5C75-F64D-BA65-B11B2D12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7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7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7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7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7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474"/>
    <w:rPr>
      <w:rFonts w:eastAsiaTheme="majorEastAsia" w:cstheme="majorBidi"/>
      <w:color w:val="272727" w:themeColor="text1" w:themeTint="D8"/>
    </w:rPr>
  </w:style>
  <w:style w:type="paragraph" w:styleId="Title">
    <w:name w:val="Title"/>
    <w:basedOn w:val="Normal"/>
    <w:next w:val="Normal"/>
    <w:link w:val="TitleChar"/>
    <w:uiPriority w:val="10"/>
    <w:qFormat/>
    <w:rsid w:val="00A4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474"/>
    <w:pPr>
      <w:spacing w:before="160"/>
      <w:jc w:val="center"/>
    </w:pPr>
    <w:rPr>
      <w:i/>
      <w:iCs/>
      <w:color w:val="404040" w:themeColor="text1" w:themeTint="BF"/>
    </w:rPr>
  </w:style>
  <w:style w:type="character" w:customStyle="1" w:styleId="QuoteChar">
    <w:name w:val="Quote Char"/>
    <w:basedOn w:val="DefaultParagraphFont"/>
    <w:link w:val="Quote"/>
    <w:uiPriority w:val="29"/>
    <w:rsid w:val="00A47474"/>
    <w:rPr>
      <w:i/>
      <w:iCs/>
      <w:color w:val="404040" w:themeColor="text1" w:themeTint="BF"/>
    </w:rPr>
  </w:style>
  <w:style w:type="paragraph" w:styleId="ListParagraph">
    <w:name w:val="List Paragraph"/>
    <w:basedOn w:val="Normal"/>
    <w:uiPriority w:val="34"/>
    <w:qFormat/>
    <w:rsid w:val="00A47474"/>
    <w:pPr>
      <w:ind w:left="720"/>
      <w:contextualSpacing/>
    </w:pPr>
  </w:style>
  <w:style w:type="character" w:styleId="IntenseEmphasis">
    <w:name w:val="Intense Emphasis"/>
    <w:basedOn w:val="DefaultParagraphFont"/>
    <w:uiPriority w:val="21"/>
    <w:qFormat/>
    <w:rsid w:val="00A47474"/>
    <w:rPr>
      <w:i/>
      <w:iCs/>
      <w:color w:val="0F4761" w:themeColor="accent1" w:themeShade="BF"/>
    </w:rPr>
  </w:style>
  <w:style w:type="paragraph" w:styleId="IntenseQuote">
    <w:name w:val="Intense Quote"/>
    <w:basedOn w:val="Normal"/>
    <w:next w:val="Normal"/>
    <w:link w:val="IntenseQuoteChar"/>
    <w:uiPriority w:val="30"/>
    <w:qFormat/>
    <w:rsid w:val="00A4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474"/>
    <w:rPr>
      <w:i/>
      <w:iCs/>
      <w:color w:val="0F4761" w:themeColor="accent1" w:themeShade="BF"/>
    </w:rPr>
  </w:style>
  <w:style w:type="character" w:styleId="IntenseReference">
    <w:name w:val="Intense Reference"/>
    <w:basedOn w:val="DefaultParagraphFont"/>
    <w:uiPriority w:val="32"/>
    <w:qFormat/>
    <w:rsid w:val="00A47474"/>
    <w:rPr>
      <w:b/>
      <w:bCs/>
      <w:smallCaps/>
      <w:color w:val="0F4761" w:themeColor="accent1" w:themeShade="BF"/>
      <w:spacing w:val="5"/>
    </w:rPr>
  </w:style>
  <w:style w:type="paragraph" w:styleId="NormalWeb">
    <w:name w:val="Normal (Web)"/>
    <w:basedOn w:val="Normal"/>
    <w:uiPriority w:val="99"/>
    <w:unhideWhenUsed/>
    <w:rsid w:val="00A474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7474"/>
    <w:rPr>
      <w:b/>
      <w:bCs/>
    </w:rPr>
  </w:style>
  <w:style w:type="character" w:customStyle="1" w:styleId="apple-converted-space">
    <w:name w:val="apple-converted-space"/>
    <w:basedOn w:val="DefaultParagraphFont"/>
    <w:rsid w:val="00A47474"/>
  </w:style>
  <w:style w:type="character" w:styleId="Emphasis">
    <w:name w:val="Emphasis"/>
    <w:basedOn w:val="DefaultParagraphFont"/>
    <w:uiPriority w:val="20"/>
    <w:qFormat/>
    <w:rsid w:val="00A47474"/>
    <w:rPr>
      <w:i/>
      <w:iCs/>
    </w:rPr>
  </w:style>
  <w:style w:type="paragraph" w:customStyle="1" w:styleId="p1">
    <w:name w:val="p1"/>
    <w:basedOn w:val="Normal"/>
    <w:rsid w:val="00A474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A23"/>
  </w:style>
  <w:style w:type="character" w:styleId="PageNumber">
    <w:name w:val="page number"/>
    <w:basedOn w:val="DefaultParagraphFont"/>
    <w:uiPriority w:val="99"/>
    <w:semiHidden/>
    <w:unhideWhenUsed/>
    <w:rsid w:val="00474A23"/>
  </w:style>
  <w:style w:type="paragraph" w:customStyle="1" w:styleId="p2">
    <w:name w:val="p2"/>
    <w:basedOn w:val="Normal"/>
    <w:rsid w:val="001A63A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A63A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C03F8"/>
  </w:style>
  <w:style w:type="paragraph" w:customStyle="1" w:styleId="p4">
    <w:name w:val="p4"/>
    <w:basedOn w:val="Normal"/>
    <w:rsid w:val="000C03F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456DE"/>
  </w:style>
  <w:style w:type="character" w:styleId="CommentReference">
    <w:name w:val="annotation reference"/>
    <w:basedOn w:val="DefaultParagraphFont"/>
    <w:uiPriority w:val="99"/>
    <w:semiHidden/>
    <w:unhideWhenUsed/>
    <w:rsid w:val="00CF0F2E"/>
    <w:rPr>
      <w:sz w:val="16"/>
      <w:szCs w:val="16"/>
    </w:rPr>
  </w:style>
  <w:style w:type="paragraph" w:styleId="CommentText">
    <w:name w:val="annotation text"/>
    <w:basedOn w:val="Normal"/>
    <w:link w:val="CommentTextChar"/>
    <w:uiPriority w:val="99"/>
    <w:semiHidden/>
    <w:unhideWhenUsed/>
    <w:rsid w:val="00CF0F2E"/>
    <w:pPr>
      <w:spacing w:line="240" w:lineRule="auto"/>
    </w:pPr>
    <w:rPr>
      <w:sz w:val="20"/>
      <w:szCs w:val="20"/>
    </w:rPr>
  </w:style>
  <w:style w:type="character" w:customStyle="1" w:styleId="CommentTextChar">
    <w:name w:val="Comment Text Char"/>
    <w:basedOn w:val="DefaultParagraphFont"/>
    <w:link w:val="CommentText"/>
    <w:uiPriority w:val="99"/>
    <w:semiHidden/>
    <w:rsid w:val="00CF0F2E"/>
    <w:rPr>
      <w:sz w:val="20"/>
      <w:szCs w:val="20"/>
    </w:rPr>
  </w:style>
  <w:style w:type="paragraph" w:styleId="CommentSubject">
    <w:name w:val="annotation subject"/>
    <w:basedOn w:val="CommentText"/>
    <w:next w:val="CommentText"/>
    <w:link w:val="CommentSubjectChar"/>
    <w:uiPriority w:val="99"/>
    <w:semiHidden/>
    <w:unhideWhenUsed/>
    <w:rsid w:val="00CF0F2E"/>
    <w:rPr>
      <w:b/>
      <w:bCs/>
    </w:rPr>
  </w:style>
  <w:style w:type="character" w:customStyle="1" w:styleId="CommentSubjectChar">
    <w:name w:val="Comment Subject Char"/>
    <w:basedOn w:val="CommentTextChar"/>
    <w:link w:val="CommentSubject"/>
    <w:uiPriority w:val="99"/>
    <w:semiHidden/>
    <w:rsid w:val="00CF0F2E"/>
    <w:rPr>
      <w:b/>
      <w:bCs/>
      <w:sz w:val="20"/>
      <w:szCs w:val="20"/>
    </w:rPr>
  </w:style>
  <w:style w:type="paragraph" w:styleId="Revision">
    <w:name w:val="Revision"/>
    <w:hidden/>
    <w:uiPriority w:val="99"/>
    <w:semiHidden/>
    <w:rsid w:val="008B3A43"/>
    <w:pPr>
      <w:spacing w:after="0" w:line="240" w:lineRule="auto"/>
    </w:pPr>
  </w:style>
  <w:style w:type="table" w:styleId="PlainTable3">
    <w:name w:val="Plain Table 3"/>
    <w:basedOn w:val="TableNormal"/>
    <w:uiPriority w:val="43"/>
    <w:rsid w:val="00AB26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AB266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AB266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B26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F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D4F"/>
    <w:rPr>
      <w:color w:val="467886" w:themeColor="hyperlink"/>
      <w:u w:val="single"/>
    </w:rPr>
  </w:style>
  <w:style w:type="character" w:styleId="UnresolvedMention">
    <w:name w:val="Unresolved Mention"/>
    <w:basedOn w:val="DefaultParagraphFont"/>
    <w:uiPriority w:val="99"/>
    <w:semiHidden/>
    <w:unhideWhenUsed/>
    <w:rsid w:val="004C3D4F"/>
    <w:rPr>
      <w:color w:val="605E5C"/>
      <w:shd w:val="clear" w:color="auto" w:fill="E1DFDD"/>
    </w:rPr>
  </w:style>
  <w:style w:type="paragraph" w:styleId="FootnoteText">
    <w:name w:val="footnote text"/>
    <w:basedOn w:val="Normal"/>
    <w:link w:val="FootnoteTextChar"/>
    <w:uiPriority w:val="99"/>
    <w:semiHidden/>
    <w:unhideWhenUsed/>
    <w:rsid w:val="00F847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75C"/>
    <w:rPr>
      <w:sz w:val="20"/>
      <w:szCs w:val="20"/>
    </w:rPr>
  </w:style>
  <w:style w:type="character" w:styleId="FootnoteReference">
    <w:name w:val="footnote reference"/>
    <w:basedOn w:val="DefaultParagraphFont"/>
    <w:uiPriority w:val="99"/>
    <w:semiHidden/>
    <w:unhideWhenUsed/>
    <w:rsid w:val="00F8475C"/>
    <w:rPr>
      <w:vertAlign w:val="superscript"/>
    </w:rPr>
  </w:style>
  <w:style w:type="character" w:customStyle="1" w:styleId="overflow-hidden">
    <w:name w:val="overflow-hidden"/>
    <w:basedOn w:val="DefaultParagraphFont"/>
    <w:rsid w:val="00D0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679">
      <w:bodyDiv w:val="1"/>
      <w:marLeft w:val="0"/>
      <w:marRight w:val="0"/>
      <w:marTop w:val="0"/>
      <w:marBottom w:val="0"/>
      <w:divBdr>
        <w:top w:val="none" w:sz="0" w:space="0" w:color="auto"/>
        <w:left w:val="none" w:sz="0" w:space="0" w:color="auto"/>
        <w:bottom w:val="none" w:sz="0" w:space="0" w:color="auto"/>
        <w:right w:val="none" w:sz="0" w:space="0" w:color="auto"/>
      </w:divBdr>
      <w:divsChild>
        <w:div w:id="15873493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0449678">
      <w:bodyDiv w:val="1"/>
      <w:marLeft w:val="0"/>
      <w:marRight w:val="0"/>
      <w:marTop w:val="0"/>
      <w:marBottom w:val="0"/>
      <w:divBdr>
        <w:top w:val="none" w:sz="0" w:space="0" w:color="auto"/>
        <w:left w:val="none" w:sz="0" w:space="0" w:color="auto"/>
        <w:bottom w:val="none" w:sz="0" w:space="0" w:color="auto"/>
        <w:right w:val="none" w:sz="0" w:space="0" w:color="auto"/>
      </w:divBdr>
    </w:div>
    <w:div w:id="99222897">
      <w:bodyDiv w:val="1"/>
      <w:marLeft w:val="0"/>
      <w:marRight w:val="0"/>
      <w:marTop w:val="0"/>
      <w:marBottom w:val="0"/>
      <w:divBdr>
        <w:top w:val="none" w:sz="0" w:space="0" w:color="auto"/>
        <w:left w:val="none" w:sz="0" w:space="0" w:color="auto"/>
        <w:bottom w:val="none" w:sz="0" w:space="0" w:color="auto"/>
        <w:right w:val="none" w:sz="0" w:space="0" w:color="auto"/>
      </w:divBdr>
    </w:div>
    <w:div w:id="147942966">
      <w:bodyDiv w:val="1"/>
      <w:marLeft w:val="0"/>
      <w:marRight w:val="0"/>
      <w:marTop w:val="0"/>
      <w:marBottom w:val="0"/>
      <w:divBdr>
        <w:top w:val="none" w:sz="0" w:space="0" w:color="auto"/>
        <w:left w:val="none" w:sz="0" w:space="0" w:color="auto"/>
        <w:bottom w:val="none" w:sz="0" w:space="0" w:color="auto"/>
        <w:right w:val="none" w:sz="0" w:space="0" w:color="auto"/>
      </w:divBdr>
    </w:div>
    <w:div w:id="158473600">
      <w:bodyDiv w:val="1"/>
      <w:marLeft w:val="0"/>
      <w:marRight w:val="0"/>
      <w:marTop w:val="0"/>
      <w:marBottom w:val="0"/>
      <w:divBdr>
        <w:top w:val="none" w:sz="0" w:space="0" w:color="auto"/>
        <w:left w:val="none" w:sz="0" w:space="0" w:color="auto"/>
        <w:bottom w:val="none" w:sz="0" w:space="0" w:color="auto"/>
        <w:right w:val="none" w:sz="0" w:space="0" w:color="auto"/>
      </w:divBdr>
    </w:div>
    <w:div w:id="193350366">
      <w:bodyDiv w:val="1"/>
      <w:marLeft w:val="0"/>
      <w:marRight w:val="0"/>
      <w:marTop w:val="0"/>
      <w:marBottom w:val="0"/>
      <w:divBdr>
        <w:top w:val="none" w:sz="0" w:space="0" w:color="auto"/>
        <w:left w:val="none" w:sz="0" w:space="0" w:color="auto"/>
        <w:bottom w:val="none" w:sz="0" w:space="0" w:color="auto"/>
        <w:right w:val="none" w:sz="0" w:space="0" w:color="auto"/>
      </w:divBdr>
    </w:div>
    <w:div w:id="404844329">
      <w:bodyDiv w:val="1"/>
      <w:marLeft w:val="0"/>
      <w:marRight w:val="0"/>
      <w:marTop w:val="0"/>
      <w:marBottom w:val="0"/>
      <w:divBdr>
        <w:top w:val="none" w:sz="0" w:space="0" w:color="auto"/>
        <w:left w:val="none" w:sz="0" w:space="0" w:color="auto"/>
        <w:bottom w:val="none" w:sz="0" w:space="0" w:color="auto"/>
        <w:right w:val="none" w:sz="0" w:space="0" w:color="auto"/>
      </w:divBdr>
    </w:div>
    <w:div w:id="419446526">
      <w:bodyDiv w:val="1"/>
      <w:marLeft w:val="0"/>
      <w:marRight w:val="0"/>
      <w:marTop w:val="0"/>
      <w:marBottom w:val="0"/>
      <w:divBdr>
        <w:top w:val="none" w:sz="0" w:space="0" w:color="auto"/>
        <w:left w:val="none" w:sz="0" w:space="0" w:color="auto"/>
        <w:bottom w:val="none" w:sz="0" w:space="0" w:color="auto"/>
        <w:right w:val="none" w:sz="0" w:space="0" w:color="auto"/>
      </w:divBdr>
    </w:div>
    <w:div w:id="521018747">
      <w:bodyDiv w:val="1"/>
      <w:marLeft w:val="0"/>
      <w:marRight w:val="0"/>
      <w:marTop w:val="0"/>
      <w:marBottom w:val="0"/>
      <w:divBdr>
        <w:top w:val="none" w:sz="0" w:space="0" w:color="auto"/>
        <w:left w:val="none" w:sz="0" w:space="0" w:color="auto"/>
        <w:bottom w:val="none" w:sz="0" w:space="0" w:color="auto"/>
        <w:right w:val="none" w:sz="0" w:space="0" w:color="auto"/>
      </w:divBdr>
    </w:div>
    <w:div w:id="643121030">
      <w:bodyDiv w:val="1"/>
      <w:marLeft w:val="0"/>
      <w:marRight w:val="0"/>
      <w:marTop w:val="0"/>
      <w:marBottom w:val="0"/>
      <w:divBdr>
        <w:top w:val="none" w:sz="0" w:space="0" w:color="auto"/>
        <w:left w:val="none" w:sz="0" w:space="0" w:color="auto"/>
        <w:bottom w:val="none" w:sz="0" w:space="0" w:color="auto"/>
        <w:right w:val="none" w:sz="0" w:space="0" w:color="auto"/>
      </w:divBdr>
    </w:div>
    <w:div w:id="668101219">
      <w:bodyDiv w:val="1"/>
      <w:marLeft w:val="0"/>
      <w:marRight w:val="0"/>
      <w:marTop w:val="0"/>
      <w:marBottom w:val="0"/>
      <w:divBdr>
        <w:top w:val="none" w:sz="0" w:space="0" w:color="auto"/>
        <w:left w:val="none" w:sz="0" w:space="0" w:color="auto"/>
        <w:bottom w:val="none" w:sz="0" w:space="0" w:color="auto"/>
        <w:right w:val="none" w:sz="0" w:space="0" w:color="auto"/>
      </w:divBdr>
    </w:div>
    <w:div w:id="726340790">
      <w:bodyDiv w:val="1"/>
      <w:marLeft w:val="0"/>
      <w:marRight w:val="0"/>
      <w:marTop w:val="0"/>
      <w:marBottom w:val="0"/>
      <w:divBdr>
        <w:top w:val="none" w:sz="0" w:space="0" w:color="auto"/>
        <w:left w:val="none" w:sz="0" w:space="0" w:color="auto"/>
        <w:bottom w:val="none" w:sz="0" w:space="0" w:color="auto"/>
        <w:right w:val="none" w:sz="0" w:space="0" w:color="auto"/>
      </w:divBdr>
    </w:div>
    <w:div w:id="741752974">
      <w:bodyDiv w:val="1"/>
      <w:marLeft w:val="0"/>
      <w:marRight w:val="0"/>
      <w:marTop w:val="0"/>
      <w:marBottom w:val="0"/>
      <w:divBdr>
        <w:top w:val="none" w:sz="0" w:space="0" w:color="auto"/>
        <w:left w:val="none" w:sz="0" w:space="0" w:color="auto"/>
        <w:bottom w:val="none" w:sz="0" w:space="0" w:color="auto"/>
        <w:right w:val="none" w:sz="0" w:space="0" w:color="auto"/>
      </w:divBdr>
    </w:div>
    <w:div w:id="761026043">
      <w:bodyDiv w:val="1"/>
      <w:marLeft w:val="0"/>
      <w:marRight w:val="0"/>
      <w:marTop w:val="0"/>
      <w:marBottom w:val="0"/>
      <w:divBdr>
        <w:top w:val="none" w:sz="0" w:space="0" w:color="auto"/>
        <w:left w:val="none" w:sz="0" w:space="0" w:color="auto"/>
        <w:bottom w:val="none" w:sz="0" w:space="0" w:color="auto"/>
        <w:right w:val="none" w:sz="0" w:space="0" w:color="auto"/>
      </w:divBdr>
    </w:div>
    <w:div w:id="802384683">
      <w:bodyDiv w:val="1"/>
      <w:marLeft w:val="0"/>
      <w:marRight w:val="0"/>
      <w:marTop w:val="0"/>
      <w:marBottom w:val="0"/>
      <w:divBdr>
        <w:top w:val="none" w:sz="0" w:space="0" w:color="auto"/>
        <w:left w:val="none" w:sz="0" w:space="0" w:color="auto"/>
        <w:bottom w:val="none" w:sz="0" w:space="0" w:color="auto"/>
        <w:right w:val="none" w:sz="0" w:space="0" w:color="auto"/>
      </w:divBdr>
    </w:div>
    <w:div w:id="860168728">
      <w:bodyDiv w:val="1"/>
      <w:marLeft w:val="0"/>
      <w:marRight w:val="0"/>
      <w:marTop w:val="0"/>
      <w:marBottom w:val="0"/>
      <w:divBdr>
        <w:top w:val="none" w:sz="0" w:space="0" w:color="auto"/>
        <w:left w:val="none" w:sz="0" w:space="0" w:color="auto"/>
        <w:bottom w:val="none" w:sz="0" w:space="0" w:color="auto"/>
        <w:right w:val="none" w:sz="0" w:space="0" w:color="auto"/>
      </w:divBdr>
    </w:div>
    <w:div w:id="862743593">
      <w:bodyDiv w:val="1"/>
      <w:marLeft w:val="0"/>
      <w:marRight w:val="0"/>
      <w:marTop w:val="0"/>
      <w:marBottom w:val="0"/>
      <w:divBdr>
        <w:top w:val="none" w:sz="0" w:space="0" w:color="auto"/>
        <w:left w:val="none" w:sz="0" w:space="0" w:color="auto"/>
        <w:bottom w:val="none" w:sz="0" w:space="0" w:color="auto"/>
        <w:right w:val="none" w:sz="0" w:space="0" w:color="auto"/>
      </w:divBdr>
    </w:div>
    <w:div w:id="898902154">
      <w:bodyDiv w:val="1"/>
      <w:marLeft w:val="0"/>
      <w:marRight w:val="0"/>
      <w:marTop w:val="0"/>
      <w:marBottom w:val="0"/>
      <w:divBdr>
        <w:top w:val="none" w:sz="0" w:space="0" w:color="auto"/>
        <w:left w:val="none" w:sz="0" w:space="0" w:color="auto"/>
        <w:bottom w:val="none" w:sz="0" w:space="0" w:color="auto"/>
        <w:right w:val="none" w:sz="0" w:space="0" w:color="auto"/>
      </w:divBdr>
    </w:div>
    <w:div w:id="945192891">
      <w:bodyDiv w:val="1"/>
      <w:marLeft w:val="0"/>
      <w:marRight w:val="0"/>
      <w:marTop w:val="0"/>
      <w:marBottom w:val="0"/>
      <w:divBdr>
        <w:top w:val="none" w:sz="0" w:space="0" w:color="auto"/>
        <w:left w:val="none" w:sz="0" w:space="0" w:color="auto"/>
        <w:bottom w:val="none" w:sz="0" w:space="0" w:color="auto"/>
        <w:right w:val="none" w:sz="0" w:space="0" w:color="auto"/>
      </w:divBdr>
      <w:divsChild>
        <w:div w:id="1148865920">
          <w:marLeft w:val="0"/>
          <w:marRight w:val="0"/>
          <w:marTop w:val="0"/>
          <w:marBottom w:val="0"/>
          <w:divBdr>
            <w:top w:val="none" w:sz="0" w:space="0" w:color="auto"/>
            <w:left w:val="none" w:sz="0" w:space="0" w:color="auto"/>
            <w:bottom w:val="none" w:sz="0" w:space="0" w:color="auto"/>
            <w:right w:val="none" w:sz="0" w:space="0" w:color="auto"/>
          </w:divBdr>
          <w:divsChild>
            <w:div w:id="1893224412">
              <w:marLeft w:val="0"/>
              <w:marRight w:val="0"/>
              <w:marTop w:val="0"/>
              <w:marBottom w:val="0"/>
              <w:divBdr>
                <w:top w:val="none" w:sz="0" w:space="0" w:color="auto"/>
                <w:left w:val="none" w:sz="0" w:space="0" w:color="auto"/>
                <w:bottom w:val="none" w:sz="0" w:space="0" w:color="auto"/>
                <w:right w:val="none" w:sz="0" w:space="0" w:color="auto"/>
              </w:divBdr>
              <w:divsChild>
                <w:div w:id="2016875881">
                  <w:marLeft w:val="0"/>
                  <w:marRight w:val="0"/>
                  <w:marTop w:val="0"/>
                  <w:marBottom w:val="0"/>
                  <w:divBdr>
                    <w:top w:val="none" w:sz="0" w:space="0" w:color="auto"/>
                    <w:left w:val="none" w:sz="0" w:space="0" w:color="auto"/>
                    <w:bottom w:val="none" w:sz="0" w:space="0" w:color="auto"/>
                    <w:right w:val="none" w:sz="0" w:space="0" w:color="auto"/>
                  </w:divBdr>
                  <w:divsChild>
                    <w:div w:id="1476753690">
                      <w:marLeft w:val="0"/>
                      <w:marRight w:val="0"/>
                      <w:marTop w:val="0"/>
                      <w:marBottom w:val="0"/>
                      <w:divBdr>
                        <w:top w:val="none" w:sz="0" w:space="0" w:color="auto"/>
                        <w:left w:val="none" w:sz="0" w:space="0" w:color="auto"/>
                        <w:bottom w:val="none" w:sz="0" w:space="0" w:color="auto"/>
                        <w:right w:val="none" w:sz="0" w:space="0" w:color="auto"/>
                      </w:divBdr>
                      <w:divsChild>
                        <w:div w:id="634916083">
                          <w:marLeft w:val="0"/>
                          <w:marRight w:val="0"/>
                          <w:marTop w:val="0"/>
                          <w:marBottom w:val="0"/>
                          <w:divBdr>
                            <w:top w:val="none" w:sz="0" w:space="0" w:color="auto"/>
                            <w:left w:val="none" w:sz="0" w:space="0" w:color="auto"/>
                            <w:bottom w:val="none" w:sz="0" w:space="0" w:color="auto"/>
                            <w:right w:val="none" w:sz="0" w:space="0" w:color="auto"/>
                          </w:divBdr>
                          <w:divsChild>
                            <w:div w:id="1521506658">
                              <w:marLeft w:val="0"/>
                              <w:marRight w:val="0"/>
                              <w:marTop w:val="0"/>
                              <w:marBottom w:val="0"/>
                              <w:divBdr>
                                <w:top w:val="none" w:sz="0" w:space="0" w:color="auto"/>
                                <w:left w:val="none" w:sz="0" w:space="0" w:color="auto"/>
                                <w:bottom w:val="none" w:sz="0" w:space="0" w:color="auto"/>
                                <w:right w:val="none" w:sz="0" w:space="0" w:color="auto"/>
                              </w:divBdr>
                              <w:divsChild>
                                <w:div w:id="838345623">
                                  <w:marLeft w:val="0"/>
                                  <w:marRight w:val="0"/>
                                  <w:marTop w:val="0"/>
                                  <w:marBottom w:val="0"/>
                                  <w:divBdr>
                                    <w:top w:val="none" w:sz="0" w:space="0" w:color="auto"/>
                                    <w:left w:val="none" w:sz="0" w:space="0" w:color="auto"/>
                                    <w:bottom w:val="none" w:sz="0" w:space="0" w:color="auto"/>
                                    <w:right w:val="none" w:sz="0" w:space="0" w:color="auto"/>
                                  </w:divBdr>
                                  <w:divsChild>
                                    <w:div w:id="17784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7876">
                          <w:marLeft w:val="0"/>
                          <w:marRight w:val="0"/>
                          <w:marTop w:val="0"/>
                          <w:marBottom w:val="0"/>
                          <w:divBdr>
                            <w:top w:val="none" w:sz="0" w:space="0" w:color="auto"/>
                            <w:left w:val="none" w:sz="0" w:space="0" w:color="auto"/>
                            <w:bottom w:val="none" w:sz="0" w:space="0" w:color="auto"/>
                            <w:right w:val="none" w:sz="0" w:space="0" w:color="auto"/>
                          </w:divBdr>
                          <w:divsChild>
                            <w:div w:id="1440636397">
                              <w:marLeft w:val="0"/>
                              <w:marRight w:val="0"/>
                              <w:marTop w:val="0"/>
                              <w:marBottom w:val="0"/>
                              <w:divBdr>
                                <w:top w:val="none" w:sz="0" w:space="0" w:color="auto"/>
                                <w:left w:val="none" w:sz="0" w:space="0" w:color="auto"/>
                                <w:bottom w:val="none" w:sz="0" w:space="0" w:color="auto"/>
                                <w:right w:val="none" w:sz="0" w:space="0" w:color="auto"/>
                              </w:divBdr>
                              <w:divsChild>
                                <w:div w:id="13022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71404">
      <w:bodyDiv w:val="1"/>
      <w:marLeft w:val="0"/>
      <w:marRight w:val="0"/>
      <w:marTop w:val="0"/>
      <w:marBottom w:val="0"/>
      <w:divBdr>
        <w:top w:val="none" w:sz="0" w:space="0" w:color="auto"/>
        <w:left w:val="none" w:sz="0" w:space="0" w:color="auto"/>
        <w:bottom w:val="none" w:sz="0" w:space="0" w:color="auto"/>
        <w:right w:val="none" w:sz="0" w:space="0" w:color="auto"/>
      </w:divBdr>
      <w:divsChild>
        <w:div w:id="3276391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81878567">
      <w:bodyDiv w:val="1"/>
      <w:marLeft w:val="0"/>
      <w:marRight w:val="0"/>
      <w:marTop w:val="0"/>
      <w:marBottom w:val="0"/>
      <w:divBdr>
        <w:top w:val="none" w:sz="0" w:space="0" w:color="auto"/>
        <w:left w:val="none" w:sz="0" w:space="0" w:color="auto"/>
        <w:bottom w:val="none" w:sz="0" w:space="0" w:color="auto"/>
        <w:right w:val="none" w:sz="0" w:space="0" w:color="auto"/>
      </w:divBdr>
      <w:divsChild>
        <w:div w:id="1359309099">
          <w:marLeft w:val="0"/>
          <w:marRight w:val="0"/>
          <w:marTop w:val="0"/>
          <w:marBottom w:val="0"/>
          <w:divBdr>
            <w:top w:val="none" w:sz="0" w:space="0" w:color="auto"/>
            <w:left w:val="none" w:sz="0" w:space="0" w:color="auto"/>
            <w:bottom w:val="none" w:sz="0" w:space="0" w:color="auto"/>
            <w:right w:val="none" w:sz="0" w:space="0" w:color="auto"/>
          </w:divBdr>
          <w:divsChild>
            <w:div w:id="974793536">
              <w:marLeft w:val="0"/>
              <w:marRight w:val="0"/>
              <w:marTop w:val="0"/>
              <w:marBottom w:val="0"/>
              <w:divBdr>
                <w:top w:val="none" w:sz="0" w:space="0" w:color="auto"/>
                <w:left w:val="none" w:sz="0" w:space="0" w:color="auto"/>
                <w:bottom w:val="none" w:sz="0" w:space="0" w:color="auto"/>
                <w:right w:val="none" w:sz="0" w:space="0" w:color="auto"/>
              </w:divBdr>
              <w:divsChild>
                <w:div w:id="1370103021">
                  <w:marLeft w:val="0"/>
                  <w:marRight w:val="0"/>
                  <w:marTop w:val="0"/>
                  <w:marBottom w:val="0"/>
                  <w:divBdr>
                    <w:top w:val="none" w:sz="0" w:space="0" w:color="auto"/>
                    <w:left w:val="none" w:sz="0" w:space="0" w:color="auto"/>
                    <w:bottom w:val="none" w:sz="0" w:space="0" w:color="auto"/>
                    <w:right w:val="none" w:sz="0" w:space="0" w:color="auto"/>
                  </w:divBdr>
                  <w:divsChild>
                    <w:div w:id="842352684">
                      <w:marLeft w:val="0"/>
                      <w:marRight w:val="0"/>
                      <w:marTop w:val="0"/>
                      <w:marBottom w:val="0"/>
                      <w:divBdr>
                        <w:top w:val="none" w:sz="0" w:space="0" w:color="auto"/>
                        <w:left w:val="none" w:sz="0" w:space="0" w:color="auto"/>
                        <w:bottom w:val="none" w:sz="0" w:space="0" w:color="auto"/>
                        <w:right w:val="none" w:sz="0" w:space="0" w:color="auto"/>
                      </w:divBdr>
                      <w:divsChild>
                        <w:div w:id="1160198593">
                          <w:marLeft w:val="0"/>
                          <w:marRight w:val="0"/>
                          <w:marTop w:val="0"/>
                          <w:marBottom w:val="0"/>
                          <w:divBdr>
                            <w:top w:val="none" w:sz="0" w:space="0" w:color="auto"/>
                            <w:left w:val="none" w:sz="0" w:space="0" w:color="auto"/>
                            <w:bottom w:val="none" w:sz="0" w:space="0" w:color="auto"/>
                            <w:right w:val="none" w:sz="0" w:space="0" w:color="auto"/>
                          </w:divBdr>
                          <w:divsChild>
                            <w:div w:id="868955095">
                              <w:marLeft w:val="0"/>
                              <w:marRight w:val="0"/>
                              <w:marTop w:val="0"/>
                              <w:marBottom w:val="0"/>
                              <w:divBdr>
                                <w:top w:val="none" w:sz="0" w:space="0" w:color="auto"/>
                                <w:left w:val="none" w:sz="0" w:space="0" w:color="auto"/>
                                <w:bottom w:val="none" w:sz="0" w:space="0" w:color="auto"/>
                                <w:right w:val="none" w:sz="0" w:space="0" w:color="auto"/>
                              </w:divBdr>
                              <w:divsChild>
                                <w:div w:id="135921739">
                                  <w:marLeft w:val="0"/>
                                  <w:marRight w:val="0"/>
                                  <w:marTop w:val="0"/>
                                  <w:marBottom w:val="0"/>
                                  <w:divBdr>
                                    <w:top w:val="none" w:sz="0" w:space="0" w:color="auto"/>
                                    <w:left w:val="none" w:sz="0" w:space="0" w:color="auto"/>
                                    <w:bottom w:val="none" w:sz="0" w:space="0" w:color="auto"/>
                                    <w:right w:val="none" w:sz="0" w:space="0" w:color="auto"/>
                                  </w:divBdr>
                                  <w:divsChild>
                                    <w:div w:id="1154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4578">
                          <w:marLeft w:val="0"/>
                          <w:marRight w:val="0"/>
                          <w:marTop w:val="0"/>
                          <w:marBottom w:val="0"/>
                          <w:divBdr>
                            <w:top w:val="none" w:sz="0" w:space="0" w:color="auto"/>
                            <w:left w:val="none" w:sz="0" w:space="0" w:color="auto"/>
                            <w:bottom w:val="none" w:sz="0" w:space="0" w:color="auto"/>
                            <w:right w:val="none" w:sz="0" w:space="0" w:color="auto"/>
                          </w:divBdr>
                          <w:divsChild>
                            <w:div w:id="1855264989">
                              <w:marLeft w:val="0"/>
                              <w:marRight w:val="0"/>
                              <w:marTop w:val="0"/>
                              <w:marBottom w:val="0"/>
                              <w:divBdr>
                                <w:top w:val="none" w:sz="0" w:space="0" w:color="auto"/>
                                <w:left w:val="none" w:sz="0" w:space="0" w:color="auto"/>
                                <w:bottom w:val="none" w:sz="0" w:space="0" w:color="auto"/>
                                <w:right w:val="none" w:sz="0" w:space="0" w:color="auto"/>
                              </w:divBdr>
                              <w:divsChild>
                                <w:div w:id="8523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2120">
      <w:bodyDiv w:val="1"/>
      <w:marLeft w:val="0"/>
      <w:marRight w:val="0"/>
      <w:marTop w:val="0"/>
      <w:marBottom w:val="0"/>
      <w:divBdr>
        <w:top w:val="none" w:sz="0" w:space="0" w:color="auto"/>
        <w:left w:val="none" w:sz="0" w:space="0" w:color="auto"/>
        <w:bottom w:val="none" w:sz="0" w:space="0" w:color="auto"/>
        <w:right w:val="none" w:sz="0" w:space="0" w:color="auto"/>
      </w:divBdr>
    </w:div>
    <w:div w:id="1221551531">
      <w:bodyDiv w:val="1"/>
      <w:marLeft w:val="0"/>
      <w:marRight w:val="0"/>
      <w:marTop w:val="0"/>
      <w:marBottom w:val="0"/>
      <w:divBdr>
        <w:top w:val="none" w:sz="0" w:space="0" w:color="auto"/>
        <w:left w:val="none" w:sz="0" w:space="0" w:color="auto"/>
        <w:bottom w:val="none" w:sz="0" w:space="0" w:color="auto"/>
        <w:right w:val="none" w:sz="0" w:space="0" w:color="auto"/>
      </w:divBdr>
    </w:div>
    <w:div w:id="1306819515">
      <w:bodyDiv w:val="1"/>
      <w:marLeft w:val="0"/>
      <w:marRight w:val="0"/>
      <w:marTop w:val="0"/>
      <w:marBottom w:val="0"/>
      <w:divBdr>
        <w:top w:val="none" w:sz="0" w:space="0" w:color="auto"/>
        <w:left w:val="none" w:sz="0" w:space="0" w:color="auto"/>
        <w:bottom w:val="none" w:sz="0" w:space="0" w:color="auto"/>
        <w:right w:val="none" w:sz="0" w:space="0" w:color="auto"/>
      </w:divBdr>
      <w:divsChild>
        <w:div w:id="1863663255">
          <w:marLeft w:val="0"/>
          <w:marRight w:val="0"/>
          <w:marTop w:val="0"/>
          <w:marBottom w:val="0"/>
          <w:divBdr>
            <w:top w:val="none" w:sz="0" w:space="0" w:color="auto"/>
            <w:left w:val="none" w:sz="0" w:space="0" w:color="auto"/>
            <w:bottom w:val="none" w:sz="0" w:space="0" w:color="auto"/>
            <w:right w:val="none" w:sz="0" w:space="0" w:color="auto"/>
          </w:divBdr>
        </w:div>
        <w:div w:id="972096058">
          <w:marLeft w:val="0"/>
          <w:marRight w:val="0"/>
          <w:marTop w:val="0"/>
          <w:marBottom w:val="0"/>
          <w:divBdr>
            <w:top w:val="none" w:sz="0" w:space="0" w:color="auto"/>
            <w:left w:val="none" w:sz="0" w:space="0" w:color="auto"/>
            <w:bottom w:val="none" w:sz="0" w:space="0" w:color="auto"/>
            <w:right w:val="none" w:sz="0" w:space="0" w:color="auto"/>
          </w:divBdr>
        </w:div>
        <w:div w:id="2109959072">
          <w:marLeft w:val="0"/>
          <w:marRight w:val="0"/>
          <w:marTop w:val="0"/>
          <w:marBottom w:val="0"/>
          <w:divBdr>
            <w:top w:val="none" w:sz="0" w:space="0" w:color="auto"/>
            <w:left w:val="none" w:sz="0" w:space="0" w:color="auto"/>
            <w:bottom w:val="none" w:sz="0" w:space="0" w:color="auto"/>
            <w:right w:val="none" w:sz="0" w:space="0" w:color="auto"/>
          </w:divBdr>
        </w:div>
        <w:div w:id="2058890100">
          <w:marLeft w:val="0"/>
          <w:marRight w:val="0"/>
          <w:marTop w:val="0"/>
          <w:marBottom w:val="0"/>
          <w:divBdr>
            <w:top w:val="none" w:sz="0" w:space="0" w:color="auto"/>
            <w:left w:val="none" w:sz="0" w:space="0" w:color="auto"/>
            <w:bottom w:val="none" w:sz="0" w:space="0" w:color="auto"/>
            <w:right w:val="none" w:sz="0" w:space="0" w:color="auto"/>
          </w:divBdr>
        </w:div>
        <w:div w:id="61949792">
          <w:marLeft w:val="0"/>
          <w:marRight w:val="0"/>
          <w:marTop w:val="0"/>
          <w:marBottom w:val="0"/>
          <w:divBdr>
            <w:top w:val="none" w:sz="0" w:space="0" w:color="auto"/>
            <w:left w:val="none" w:sz="0" w:space="0" w:color="auto"/>
            <w:bottom w:val="none" w:sz="0" w:space="0" w:color="auto"/>
            <w:right w:val="none" w:sz="0" w:space="0" w:color="auto"/>
          </w:divBdr>
        </w:div>
      </w:divsChild>
    </w:div>
    <w:div w:id="1317759535">
      <w:bodyDiv w:val="1"/>
      <w:marLeft w:val="0"/>
      <w:marRight w:val="0"/>
      <w:marTop w:val="0"/>
      <w:marBottom w:val="0"/>
      <w:divBdr>
        <w:top w:val="none" w:sz="0" w:space="0" w:color="auto"/>
        <w:left w:val="none" w:sz="0" w:space="0" w:color="auto"/>
        <w:bottom w:val="none" w:sz="0" w:space="0" w:color="auto"/>
        <w:right w:val="none" w:sz="0" w:space="0" w:color="auto"/>
      </w:divBdr>
    </w:div>
    <w:div w:id="1431390957">
      <w:bodyDiv w:val="1"/>
      <w:marLeft w:val="0"/>
      <w:marRight w:val="0"/>
      <w:marTop w:val="0"/>
      <w:marBottom w:val="0"/>
      <w:divBdr>
        <w:top w:val="none" w:sz="0" w:space="0" w:color="auto"/>
        <w:left w:val="none" w:sz="0" w:space="0" w:color="auto"/>
        <w:bottom w:val="none" w:sz="0" w:space="0" w:color="auto"/>
        <w:right w:val="none" w:sz="0" w:space="0" w:color="auto"/>
      </w:divBdr>
    </w:div>
    <w:div w:id="1441342109">
      <w:bodyDiv w:val="1"/>
      <w:marLeft w:val="0"/>
      <w:marRight w:val="0"/>
      <w:marTop w:val="0"/>
      <w:marBottom w:val="0"/>
      <w:divBdr>
        <w:top w:val="none" w:sz="0" w:space="0" w:color="auto"/>
        <w:left w:val="none" w:sz="0" w:space="0" w:color="auto"/>
        <w:bottom w:val="none" w:sz="0" w:space="0" w:color="auto"/>
        <w:right w:val="none" w:sz="0" w:space="0" w:color="auto"/>
      </w:divBdr>
    </w:div>
    <w:div w:id="1474174559">
      <w:bodyDiv w:val="1"/>
      <w:marLeft w:val="0"/>
      <w:marRight w:val="0"/>
      <w:marTop w:val="0"/>
      <w:marBottom w:val="0"/>
      <w:divBdr>
        <w:top w:val="none" w:sz="0" w:space="0" w:color="auto"/>
        <w:left w:val="none" w:sz="0" w:space="0" w:color="auto"/>
        <w:bottom w:val="none" w:sz="0" w:space="0" w:color="auto"/>
        <w:right w:val="none" w:sz="0" w:space="0" w:color="auto"/>
      </w:divBdr>
    </w:div>
    <w:div w:id="1475221166">
      <w:bodyDiv w:val="1"/>
      <w:marLeft w:val="0"/>
      <w:marRight w:val="0"/>
      <w:marTop w:val="0"/>
      <w:marBottom w:val="0"/>
      <w:divBdr>
        <w:top w:val="none" w:sz="0" w:space="0" w:color="auto"/>
        <w:left w:val="none" w:sz="0" w:space="0" w:color="auto"/>
        <w:bottom w:val="none" w:sz="0" w:space="0" w:color="auto"/>
        <w:right w:val="none" w:sz="0" w:space="0" w:color="auto"/>
      </w:divBdr>
    </w:div>
    <w:div w:id="1502548409">
      <w:bodyDiv w:val="1"/>
      <w:marLeft w:val="0"/>
      <w:marRight w:val="0"/>
      <w:marTop w:val="0"/>
      <w:marBottom w:val="0"/>
      <w:divBdr>
        <w:top w:val="none" w:sz="0" w:space="0" w:color="auto"/>
        <w:left w:val="none" w:sz="0" w:space="0" w:color="auto"/>
        <w:bottom w:val="none" w:sz="0" w:space="0" w:color="auto"/>
        <w:right w:val="none" w:sz="0" w:space="0" w:color="auto"/>
      </w:divBdr>
      <w:divsChild>
        <w:div w:id="1475258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7999155">
      <w:bodyDiv w:val="1"/>
      <w:marLeft w:val="0"/>
      <w:marRight w:val="0"/>
      <w:marTop w:val="0"/>
      <w:marBottom w:val="0"/>
      <w:divBdr>
        <w:top w:val="none" w:sz="0" w:space="0" w:color="auto"/>
        <w:left w:val="none" w:sz="0" w:space="0" w:color="auto"/>
        <w:bottom w:val="none" w:sz="0" w:space="0" w:color="auto"/>
        <w:right w:val="none" w:sz="0" w:space="0" w:color="auto"/>
      </w:divBdr>
    </w:div>
    <w:div w:id="1728457143">
      <w:bodyDiv w:val="1"/>
      <w:marLeft w:val="0"/>
      <w:marRight w:val="0"/>
      <w:marTop w:val="0"/>
      <w:marBottom w:val="0"/>
      <w:divBdr>
        <w:top w:val="none" w:sz="0" w:space="0" w:color="auto"/>
        <w:left w:val="none" w:sz="0" w:space="0" w:color="auto"/>
        <w:bottom w:val="none" w:sz="0" w:space="0" w:color="auto"/>
        <w:right w:val="none" w:sz="0" w:space="0" w:color="auto"/>
      </w:divBdr>
    </w:div>
    <w:div w:id="1737700025">
      <w:bodyDiv w:val="1"/>
      <w:marLeft w:val="0"/>
      <w:marRight w:val="0"/>
      <w:marTop w:val="0"/>
      <w:marBottom w:val="0"/>
      <w:divBdr>
        <w:top w:val="none" w:sz="0" w:space="0" w:color="auto"/>
        <w:left w:val="none" w:sz="0" w:space="0" w:color="auto"/>
        <w:bottom w:val="none" w:sz="0" w:space="0" w:color="auto"/>
        <w:right w:val="none" w:sz="0" w:space="0" w:color="auto"/>
      </w:divBdr>
    </w:div>
    <w:div w:id="1773361034">
      <w:bodyDiv w:val="1"/>
      <w:marLeft w:val="0"/>
      <w:marRight w:val="0"/>
      <w:marTop w:val="0"/>
      <w:marBottom w:val="0"/>
      <w:divBdr>
        <w:top w:val="none" w:sz="0" w:space="0" w:color="auto"/>
        <w:left w:val="none" w:sz="0" w:space="0" w:color="auto"/>
        <w:bottom w:val="none" w:sz="0" w:space="0" w:color="auto"/>
        <w:right w:val="none" w:sz="0" w:space="0" w:color="auto"/>
      </w:divBdr>
    </w:div>
    <w:div w:id="1810436693">
      <w:bodyDiv w:val="1"/>
      <w:marLeft w:val="0"/>
      <w:marRight w:val="0"/>
      <w:marTop w:val="0"/>
      <w:marBottom w:val="0"/>
      <w:divBdr>
        <w:top w:val="none" w:sz="0" w:space="0" w:color="auto"/>
        <w:left w:val="none" w:sz="0" w:space="0" w:color="auto"/>
        <w:bottom w:val="none" w:sz="0" w:space="0" w:color="auto"/>
        <w:right w:val="none" w:sz="0" w:space="0" w:color="auto"/>
      </w:divBdr>
    </w:div>
    <w:div w:id="1817649990">
      <w:bodyDiv w:val="1"/>
      <w:marLeft w:val="0"/>
      <w:marRight w:val="0"/>
      <w:marTop w:val="0"/>
      <w:marBottom w:val="0"/>
      <w:divBdr>
        <w:top w:val="none" w:sz="0" w:space="0" w:color="auto"/>
        <w:left w:val="none" w:sz="0" w:space="0" w:color="auto"/>
        <w:bottom w:val="none" w:sz="0" w:space="0" w:color="auto"/>
        <w:right w:val="none" w:sz="0" w:space="0" w:color="auto"/>
      </w:divBdr>
    </w:div>
    <w:div w:id="1935937035">
      <w:bodyDiv w:val="1"/>
      <w:marLeft w:val="0"/>
      <w:marRight w:val="0"/>
      <w:marTop w:val="0"/>
      <w:marBottom w:val="0"/>
      <w:divBdr>
        <w:top w:val="none" w:sz="0" w:space="0" w:color="auto"/>
        <w:left w:val="none" w:sz="0" w:space="0" w:color="auto"/>
        <w:bottom w:val="none" w:sz="0" w:space="0" w:color="auto"/>
        <w:right w:val="none" w:sz="0" w:space="0" w:color="auto"/>
      </w:divBdr>
    </w:div>
    <w:div w:id="1975476489">
      <w:bodyDiv w:val="1"/>
      <w:marLeft w:val="0"/>
      <w:marRight w:val="0"/>
      <w:marTop w:val="0"/>
      <w:marBottom w:val="0"/>
      <w:divBdr>
        <w:top w:val="none" w:sz="0" w:space="0" w:color="auto"/>
        <w:left w:val="none" w:sz="0" w:space="0" w:color="auto"/>
        <w:bottom w:val="none" w:sz="0" w:space="0" w:color="auto"/>
        <w:right w:val="none" w:sz="0" w:space="0" w:color="auto"/>
      </w:divBdr>
    </w:div>
    <w:div w:id="2015570530">
      <w:bodyDiv w:val="1"/>
      <w:marLeft w:val="0"/>
      <w:marRight w:val="0"/>
      <w:marTop w:val="0"/>
      <w:marBottom w:val="0"/>
      <w:divBdr>
        <w:top w:val="none" w:sz="0" w:space="0" w:color="auto"/>
        <w:left w:val="none" w:sz="0" w:space="0" w:color="auto"/>
        <w:bottom w:val="none" w:sz="0" w:space="0" w:color="auto"/>
        <w:right w:val="none" w:sz="0" w:space="0" w:color="auto"/>
      </w:divBdr>
    </w:div>
    <w:div w:id="2050833446">
      <w:bodyDiv w:val="1"/>
      <w:marLeft w:val="0"/>
      <w:marRight w:val="0"/>
      <w:marTop w:val="0"/>
      <w:marBottom w:val="0"/>
      <w:divBdr>
        <w:top w:val="none" w:sz="0" w:space="0" w:color="auto"/>
        <w:left w:val="none" w:sz="0" w:space="0" w:color="auto"/>
        <w:bottom w:val="none" w:sz="0" w:space="0" w:color="auto"/>
        <w:right w:val="none" w:sz="0" w:space="0" w:color="auto"/>
      </w:divBdr>
    </w:div>
    <w:div w:id="21022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4B67F-37E9-4E4A-B866-B9019C4B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4640</Words>
  <Characters>26453</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Word count: ~2500 (without title, abstract and references; some text around figu</vt:lpstr>
      <vt:lpstr>        Political Analysis (letter format, up to 2500 words)</vt:lpstr>
      <vt:lpstr>        </vt:lpstr>
      <vt:lpstr>        Introduction</vt:lpstr>
      <vt:lpstr>    Figure 1.1: Out-of-Sample Predictive Accuracy of Theoretical Models: Conflict On</vt:lpstr>
      <vt:lpstr>    </vt:lpstr>
      <vt:lpstr>    /</vt:lpstr>
      <vt:lpstr>    </vt:lpstr>
      <vt:lpstr>        Variable Importance and Top Predictors of Self-Determination Conflict Onset and </vt:lpstr>
      <vt:lpstr>        </vt:lpstr>
      <vt:lpstr>        Figure 2.  Top Predictors of Self-Determination Conflict Onset and Escalation </vt:lpstr>
      <vt:lpstr>        Figure 3.1 Partial Dependence of Top 5 Predictors-Conflict Onset</vt:lpstr>
      <vt:lpstr>        Figure 3.2 Partial Dependence of Top 5 Predictors-Conflict Escalation</vt:lpstr>
      <vt:lpstr>        References</vt:lpstr>
      <vt:lpstr>        Altmann, André, Laura Toloşi, Oliver Sander, and Thomas Lengauer. "Permutation i</vt:lpstr>
      <vt:lpstr>        DeLong, E. R., DeLong, D. M., &amp; Clarke-Pearson, D. L. (1988). Comparing the area</vt:lpstr>
      <vt:lpstr>        Germann, Micha, and Nicholas Sambanis. 2021."Political exclusion, lost autonomy,</vt:lpstr>
      <vt:lpstr>        Sambanis, Nicholas, Micha Germann, and Andreas Schädel. 2018. "SDM: A new data s</vt:lpstr>
      <vt:lpstr>        Vogt, Manuel, Nils-Christian Bormann, Seraina Rüegger, Lars-Erik Cederman, Phili</vt:lpstr>
      <vt:lpstr>        Wimmer, Andrews. 2013. Waves of war: Nationalism, state formation, and ethnic ex</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Siroky,David S</dc:creator>
  <cp:keywords/>
  <dc:description/>
  <cp:lastModifiedBy>Mohammed, Suren J</cp:lastModifiedBy>
  <cp:revision>52</cp:revision>
  <dcterms:created xsi:type="dcterms:W3CDTF">2025-05-05T16:24:00Z</dcterms:created>
  <dcterms:modified xsi:type="dcterms:W3CDTF">2025-05-08T11:49:00Z</dcterms:modified>
</cp:coreProperties>
</file>