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autoSpaceDE w:val="false"/>
        <w:spacing w:lineRule="exact" w:line="480"/>
        <w:jc w:val="center"/>
        <w:rPr>
          <w:rFonts w:ascii="Garamond" w:hAnsi="Garamond" w:cs="Garamond"/>
          <w:sz w:val="22"/>
          <w:szCs w:val="22"/>
        </w:rPr>
      </w:pPr>
      <w:r>
        <w:rPr>
          <w:rFonts w:eastAsia="Calibri" w:cs="Garamond" w:ascii="Garamond" w:hAnsi="Garamond"/>
          <w:b/>
          <w:bCs/>
          <w:sz w:val="22"/>
          <w:szCs w:val="22"/>
          <w:u w:val="single"/>
        </w:rPr>
        <w:t xml:space="preserve">CONTRATTO PRELIMINARE DI COMPRAVENDITA IMMOBILIARE</w:t>
      </w:r>
    </w:p>
    <w:p>
      <w:pPr>
        <w:pStyle w:val="Normal"/>
        <w:autoSpaceDE w:val="false"/>
        <w:spacing w:lineRule="exact" w:line="480"/>
        <w:jc w:val="center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  <w:t xml:space="preserve">Con la presente scrittura privata, da valere a tutti gli effetti e conseguenze di legge</w:t>
      </w:r>
    </w:p>
    <w:p>
      <w:pPr>
        <w:pStyle w:val="Normal"/>
        <w:autoSpaceDE w:val="false"/>
        <w:spacing w:lineRule="exact" w:line="480"/>
        <w:jc w:val="center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  <w:t xml:space="preserve">Tra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for p in venditori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 if p.societa %}La società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{{p.soc_denominazione}}</w:t>
      </w:r>
      <w:r>
        <w:rPr>
          <w:rFonts w:eastAsia="Calibri" w:cs="Garamond" w:ascii="Garamond" w:hAnsi="Garamond"/>
          <w:sz w:val="22"/>
          <w:szCs w:val="22"/>
        </w:rPr>
        <w:t xml:space="preserve"> con sede in {{p.soc_sede}}, C.F./P.IVA {{p.soc_cf}}{% if p.soc_rea %}, {{p.soc_rea}}{% endif %}, in persona {{p.del_qualita}} {{p.soc_qualita}} {{p.art_min}} {% else %}{{p.art}} {% endif %}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{{p.nominativo}}</w:t>
      </w:r>
      <w:r>
        <w:rPr>
          <w:rFonts w:eastAsia="Calibri" w:cs="Garamond" w:ascii="Garamond" w:hAnsi="Garamond"/>
          <w:sz w:val="22"/>
          <w:szCs w:val="22"/>
        </w:rPr>
        <w:t xml:space="preserve"> {{p.nato}} a {{p.luogo_nascita}} il {{p.data_nascita}}, Cod. Fisc. {{p.cf}}, documento d'identità {{p.doc_tipo}} N° {{p.doc_numero}}, {{p.rilasciato}} {{p.doc_ente}} in data {{p.doc_rilascio}} e scadente in data {{p.doc_scadenza}}, residente in {{p.residenza}}{% if loop.last %}, {{V.che_sara}}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"Parte Promittente Venditrice"</w:t>
      </w:r>
      <w:r>
        <w:rPr>
          <w:rFonts w:eastAsia="Calibri" w:cs="Garamond" w:ascii="Garamond" w:hAnsi="Garamond"/>
          <w:sz w:val="22"/>
          <w:szCs w:val="22"/>
        </w:rPr>
        <w:t xml:space="preserve">;{% else %};{%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endfor %}</w:t>
      </w:r>
    </w:p>
    <w:p>
      <w:pPr>
        <w:pStyle w:val="Normal"/>
        <w:autoSpaceDE w:val="false"/>
        <w:spacing w:lineRule="exact" w:line="480"/>
        <w:jc w:val="center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  <w:t xml:space="preserve">e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for p in acquirenti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 if p.societa %}La società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{{p.soc_denominazione}}</w:t>
      </w:r>
      <w:r>
        <w:rPr>
          <w:rFonts w:eastAsia="Calibri" w:cs="Garamond" w:ascii="Garamond" w:hAnsi="Garamond"/>
          <w:sz w:val="22"/>
          <w:szCs w:val="22"/>
        </w:rPr>
        <w:t xml:space="preserve"> con sede in {{p.soc_sede}}, C.F./P.IVA {{p.soc_cf}}{% if p.soc_rea %}, {{p.soc_rea}}{% endif %}, in persona {{p.del_qualita}} {{p.soc_qualita}} {{p.art_min}} {% else %}{{p.art}} {% endif %}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{{p.nominativo}}</w:t>
      </w:r>
      <w:r>
        <w:rPr>
          <w:rFonts w:eastAsia="Calibri" w:cs="Garamond" w:ascii="Garamond" w:hAnsi="Garamond"/>
          <w:sz w:val="22"/>
          <w:szCs w:val="22"/>
        </w:rPr>
        <w:t xml:space="preserve"> {{p.nato}} a {{p.luogo_nascita}} il {{p.data_nascita}}, Cod. Fisc. {{p.cf}}, documento d'identità {{p.doc_tipo}} N° {{p.doc_numero}}, {{p.rilasciato}} {{p.doc_ente}} in data {{p.doc_rilascio}} e scadente in data {{p.doc_scadenza}}, residente in {{p.residenza}}{% if loop.last %}, {{A_.che_sara}}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"Parte Promissaria Acquirente"</w:t>
      </w:r>
      <w:r>
        <w:rPr>
          <w:rFonts w:eastAsia="Calibri" w:cs="Garamond" w:ascii="Garamond" w:hAnsi="Garamond"/>
          <w:sz w:val="22"/>
          <w:szCs w:val="22"/>
        </w:rPr>
        <w:t xml:space="preserve">{% else %};{%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endfor %}</w:t>
      </w:r>
    </w:p>
    <w:p>
      <w:pPr>
        <w:pStyle w:val="Normal"/>
        <w:autoSpaceDE w:val="false"/>
        <w:spacing w:lineRule="exact" w:line="480"/>
        <w:jc w:val="center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  <w:t xml:space="preserve">si conviene e si stipula quanto segue: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b/>
          <w:bCs/>
          <w:sz w:val="22"/>
          <w:szCs w:val="22"/>
        </w:rPr>
      </w:pPr>
      <w:r>
        <w:rPr>
          <w:rFonts w:cs="Garamond" w:ascii="Garamond" w:hAnsi="Garamond"/>
          <w:b/>
          <w:bCs/>
          <w:sz w:val="22"/>
          <w:szCs w:val="22"/>
        </w:rPr>
        <w:t xml:space="preserve">Articolo 1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1.1. La Parte Promittente Venditrice promette di cedere e vendere alla Parte Promissaria Acquirente, che promette di acquistare per sé stessa o persona da nominare, il seguente {{I.tipologia}} sito nel Comune di {{I.comune}} ({{I.prov}}), in {{I.indirizzo}}, costituito da {{I.descrizione}}, il tutto identificato al C.F. del Comune di {{I.comune}} ({{I.prov}}) come segue: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for g in I.gruppi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b/>
          <w:bCs/>
          <w:sz w:val="22"/>
          <w:szCs w:val="22"/>
        </w:rPr>
        <w:t xml:space="preserve">{{g.intestazione}}: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for u in g.unita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b/>
          <w:bCs/>
          <w:sz w:val="22"/>
          <w:szCs w:val="22"/>
        </w:rPr>
        <w:t xml:space="preserve">- Sub. {{u.sub}}</w:t>
      </w:r>
      <w:r>
        <w:rPr>
          <w:rFonts w:eastAsia="Calibri" w:cs="Garamond" w:ascii="Garamond" w:hAnsi="Garamond"/>
          <w:sz w:val="22"/>
          <w:szCs w:val="22"/>
        </w:rPr>
        <w:t xml:space="preserve">, Cat. {{u.categoria}}, Classe {{u.classe}}, Consistenza {{u.consistenza}}, Rendita Euro {{u.rendita}}{% if u.ultima %}.{% else %};{%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endfor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endfor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1.2 A migliore identificazione di quanto promesso in vendita, alla presente scrittura {% if I.n_planimetrie == 1 %}viene allegata 1 (una) planimetria catastale che ne costituisce parte integrante{% else %}vengono allegate {{I.planimetrie}} planimetrie catastali che ne costituiscono parte integrante{% endif %}. Inoltre si specifica che sono comprese le proporzionali quote di comproprietà sulle parti comuni ai sensi dell'articolo 1117 cod. civ.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1.3. {% if I.plurale %}Le unità immobiliari sopra descritte saranno trasferite{% else %}L’unità immobiliare sopra descritta sarà trasferita{% endif %} nello stato di fatto e di diritto in cui oggi si {% if I.plurale %}trovano{% else %}trova{% endif %}, con ogni annesso, connesso, pertinenza ed accessorio, diritto, azione e ragione, servitù attiva e passiva, così come {% if I.plurale %}viste e gradite{% else %}vista e gradita{% endif %} dalla Parte Promissaria Acquirente.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b/>
          <w:bCs/>
          <w:sz w:val="22"/>
          <w:szCs w:val="22"/>
        </w:rPr>
      </w:pPr>
      <w:r>
        <w:rPr>
          <w:rFonts w:cs="Garamond" w:ascii="Garamond" w:hAnsi="Garamond"/>
          <w:b/>
          <w:bCs/>
          <w:sz w:val="22"/>
          <w:szCs w:val="22"/>
        </w:rPr>
        <w:t xml:space="preserve">Articolo 2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2.1. {% if I.plurale %}Le unità immobiliari sono pervenute{% else %}L’unità immobiliare è pervenuta{% endif %} alla Parte Promittente Venditrice con atto di {{P.tipo_atto}} del Notaio {{P.notaio}}{% if P.notaio_sede %} di {{P.notaio_sede}}{% endif %} del {{P.data}}, rep. n. {{P.repertorio}}{% if P.raccolta %}, racc. n. {{P.raccolta}}{% endif %}{% if P.registrazione %}, {{P.registrazione}}{% endif %}, {{P.trascrizione}}.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b/>
          <w:bCs/>
          <w:sz w:val="22"/>
          <w:szCs w:val="22"/>
        </w:rPr>
      </w:pPr>
      <w:r>
        <w:rPr>
          <w:rFonts w:cs="Garamond" w:ascii="Garamond" w:hAnsi="Garamond"/>
          <w:b/>
          <w:bCs/>
          <w:sz w:val="22"/>
          <w:szCs w:val="22"/>
        </w:rPr>
        <w:t xml:space="preserve">Articolo 3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3.1. La vendita verrà effettuata a corpo e non a misura, il prezzo è convenuto tra le Parti, di comune accordo, nella somma complessiva di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{{A.prezzo}}</w:t>
      </w:r>
      <w:r>
        <w:rPr>
          <w:rFonts w:eastAsia="Calibri" w:cs="Garamond" w:ascii="Garamond" w:hAnsi="Garamond"/>
          <w:sz w:val="22"/>
          <w:szCs w:val="22"/>
        </w:rPr>
        <w:t xml:space="preserve"> che la Parte Promissaria Acquirente si obbliga a pagare nei modi e nei termini seguenti: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if A.caparra %}</w:t>
      </w:r>
    </w:p>
    <w:p>
      <w:pPr>
        <w:pStyle w:val="Normal"/>
        <w:autoSpaceDE w:val="false"/>
        <w:spacing w:lineRule="exact" w:line="480"/>
        <w:ind w:left="708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{{A.n_caparra}} quanto a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{{A.caparra}}</w:t>
      </w:r>
      <w:r>
        <w:rPr>
          <w:rFonts w:eastAsia="Calibri" w:cs="Garamond" w:ascii="Garamond" w:hAnsi="Garamond"/>
          <w:sz w:val="22"/>
          <w:szCs w:val="22"/>
        </w:rPr>
        <w:t xml:space="preserve"> a titolo di caparra confirmatoria dalla Parte Promissaria Acquirente alla Parte Promittente Venditrice, {{A.caparra_dettaglio}}. La Parte Promittente Venditrice dichiarerà di ricevere la somma suddetta salvo buon esito dell’incasso dell’intera somma, restano in ogni caso riconosciuti tutti i diritti garantiti a favore delle Parti dall'art. 1385 del C.C.;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for a in A.acconti %}</w:t>
      </w:r>
    </w:p>
    <w:p>
      <w:pPr>
        <w:pStyle w:val="Normal"/>
        <w:autoSpaceDE w:val="false"/>
        <w:spacing w:lineRule="exact" w:line="480"/>
        <w:ind w:left="708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{{a.n}} quanto a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{{a.importo}}</w:t>
      </w:r>
      <w:r>
        <w:rPr>
          <w:rFonts w:eastAsia="Calibri" w:cs="Garamond" w:ascii="Garamond" w:hAnsi="Garamond"/>
          <w:sz w:val="22"/>
          <w:szCs w:val="22"/>
        </w:rPr>
        <w:t xml:space="preserve"> a titolo di acconto prezzo, {{a.dettaglio}};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endfor %}</w:t>
      </w:r>
    </w:p>
    <w:p>
      <w:pPr>
        <w:pStyle w:val="Normal"/>
        <w:autoSpaceDE w:val="false"/>
        <w:spacing w:lineRule="exact" w:line="480"/>
        <w:ind w:left="708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{{A.n_saldo}} quanto a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{{A.saldo}}</w:t>
      </w:r>
      <w:r>
        <w:rPr>
          <w:rFonts w:eastAsia="Calibri" w:cs="Garamond" w:ascii="Garamond" w:hAnsi="Garamond"/>
          <w:sz w:val="22"/>
          <w:szCs w:val="22"/>
        </w:rPr>
        <w:t xml:space="preserve">, a saldo, {{A.saldo_modalita}}.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if A.mutuo %}</w:t>
      </w:r>
    </w:p>
    <w:p>
      <w:pPr>
        <w:pStyle w:val="Normal"/>
        <w:autoSpaceDE w:val="false"/>
        <w:spacing w:lineRule="exact" w:line="480"/>
        <w:ind w:left="708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{{A.n_mutuo}} Il presente contratto è sottoposto alla condizione sospensiva dell’ottenimento, da parte della Parte Promissaria Acquirente, di un mutuo bancario per un importo non inferiore a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{{A.mutuo_importo}}</w:t>
      </w:r>
      <w:r>
        <w:rPr>
          <w:rFonts w:eastAsia="Calibri" w:cs="Garamond" w:ascii="Garamond" w:hAnsi="Garamond"/>
          <w:sz w:val="22"/>
          <w:szCs w:val="22"/>
        </w:rPr>
        <w:t xml:space="preserve"> entro il {{A.mutuo_entro}}. In caso di mancato ottenimento del mutuo entro tale termine, documentato da diniego scritto dell’istituto di credito, il presente contratto si intenderà risolto e la Parte Promittente Venditrice restituirà alla Parte Promissaria Acquirente quanto ricevuto, senza interessi, penali o rivalse.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b/>
          <w:bCs/>
          <w:sz w:val="22"/>
          <w:szCs w:val="22"/>
        </w:rPr>
      </w:pPr>
      <w:r>
        <w:rPr>
          <w:rFonts w:cs="Garamond" w:ascii="Garamond" w:hAnsi="Garamond"/>
          <w:b/>
          <w:bCs/>
          <w:sz w:val="22"/>
          <w:szCs w:val="22"/>
        </w:rPr>
        <w:t xml:space="preserve">Articolo 4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4.1. Il contratto definitivo di compravendita dovrà essere stipulato entro e non oltre il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{{A.data_rogito}}</w:t>
      </w:r>
      <w:r>
        <w:rPr>
          <w:rFonts w:eastAsia="Calibri" w:cs="Garamond" w:ascii="Garamond" w:hAnsi="Garamond"/>
          <w:sz w:val="22"/>
          <w:szCs w:val="22"/>
        </w:rPr>
        <w:t xml:space="preserve">, salvo diverso accordo tra le parti, presso lo studio di un Notaio da individuarsi a cura della {{A.notaio_scelta}}. {% if A.locato %}L’immobile è attualmente locato: la consegna avverrà contestualmente al rogito notarile, nello stato locativo in essere.{% else %}La consegna dell'immobile, libero da cose e persone, avverrà contestualmente al rogito notarile.{%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4.2. Le spese relative all’atto notarile e le imposte in genere saranno a carico della Parte Promissaria Acquirente.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4.3. Le spese condominiali resteranno a carico della parte venditrice fino alla stipula dell'atto notarile di trasferimento. Eventuali spese straordinarie deliberate dal Venditore resteranno a carico dello stesso anche dopo il rogito notarile. La Parte Promittente Venditrice si obbliga a consegnare alla Parte Promissaria Acquirente una dichiarazione rilasciata dall'amministratore del condominio, da cui risulti l'avvenuto pagamento delle spese condominiali a loro carico fino alla data del rogito notarile.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b/>
          <w:bCs/>
          <w:sz w:val="22"/>
          <w:szCs w:val="22"/>
        </w:rPr>
      </w:pPr>
      <w:r>
        <w:rPr>
          <w:rFonts w:cs="Garamond" w:ascii="Garamond" w:hAnsi="Garamond"/>
          <w:b/>
          <w:bCs/>
          <w:sz w:val="22"/>
          <w:szCs w:val="22"/>
        </w:rPr>
        <w:t xml:space="preserve">Articolo 5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5.1. {% if I.plurale %}Le unità immobiliari sopra descritte, visitate, viste e piaciute dalla Parte Promissaria Acquirente, vengono promesse{% else %}L’unità immobiliare sopra descritta, visitata, vista e piaciuta dalla Parte Promissaria Acquirente, viene promessa{% endif %} in vendita a corpo e non a misura, nello stato e grado in cui attualmente si {% if I.plurale %}trovano{% else %}trova{% endif %}, con tutti i diritti, pertinenze ed eventuali servitù attive e passive, apparenti e non apparenti, così come {% if I.plurale %}pervenute{% else %}pervenuta{% endif %} alla Parte Promittente Venditrice in forza dei titoli di proprietà e del possesso.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5.2. La Parte Promittente Venditrice dichiara e garantisce sin da ora, di avere la piena proprietà e disponibilità, anche ai sensi della L. n. 151/1975, della stessa, la quale sarà trasferita libera da iscrizioni ipotecarie, trascrizioni pregiudizievoli, liti in corso, vizi, evizioni, da oneri reali fiscali in genere nonché da diritti di o verso terzi di qualunque natura.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5.3 La Parte Promittente Venditrice dichiara, ai sensi del D.P.R. 380/2001 e della L. 47/1985, che {{U.dichiarazione}}. {% if U.conforme %}Dichiara altresì che lo stato di fatto è conforme ai titoli abilitativi e alle planimetrie catastali depositate, ai sensi dell’art. 29, comma 1-bis, L. 52/1985. Qualora emergessero difformità prima del rogito, la Parte Promittente Venditrice si obbliga a regolarizzarle a propria cura e spese entro la data del rogito.{% else %}Le Parti danno atto che lo stato di fatto dell’immobile non corrisponde attualmente ai dati catastali e alle planimetrie depositate: la Parte Promittente Venditrice si obbliga ad aggiornarli a propria cura e spese entro la data del rogito notarile, ai sensi dell’art. 29, comma 1-bis, L. 52/1985.{%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 if U.agibile %}La Parte Promittente Venditrice dichiara che l’immobile è dotato di certificato di agibilità/abitabilità {{U.agibilita}}.{% else %}La Parte Promittente Venditrice dichiara che l’immobile non è dotato di certificato di agibilità.{%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5.4. La Parte Promittente Venditrice dichiara che il bene oggetto del presente contratto è esente da vizi occulti che ne diminuiscano il valore.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5.5 {% if E.presente %}In base alle disposizioni previste dal D.Lgs. 192/2005, dal DM del 25 giugno 2009 e dal D.Lgs. n.63 del 04/06/2013, la Parte Promittente Venditrice consegna in data odierna copia originale dell'Attestato di Certificazione Energetica, dove si evince la classe energetica di appartenenza dell’immobile, classe “{{E.classe}}” con Ipe {{E.ipe}} kwh/mq anno redatta dal {{E.tecnico}} in data {{E.data}}.{% else %}In base alle disposizioni previste dal D.Lgs. 192/2005 e successive modifiche, la Parte Promittente Venditrice si obbliga a consegnare alla Parte Promissaria Acquirente, entro la data del rogito notarile, l’Attestato di Prestazione Energetica (APE) dell’immobile.{% endif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5.6 Il presente preliminare potrà essere registrato e/o trascritto con spese a carico della parte Promissaria Acquirente, anche successivamente alla firma del presente.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for c in clausole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{{c.n}} {{c.testo}}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{%p endfor %}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b/>
          <w:bCs/>
          <w:sz w:val="22"/>
          <w:szCs w:val="22"/>
        </w:rPr>
      </w:pPr>
      <w:r>
        <w:rPr>
          <w:rFonts w:cs="Garamond" w:ascii="Garamond" w:hAnsi="Garamond"/>
          <w:b/>
          <w:bCs/>
          <w:sz w:val="22"/>
          <w:szCs w:val="22"/>
        </w:rPr>
        <w:t xml:space="preserve">Articolo 6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6.1. Ai fini della Legge 19 maggio 1975 n.151, si dichiara: {% for p in stato_civile %}{{p.art_min}} </w:t>
      </w:r>
      <w:r>
        <w:rPr>
          <w:rFonts w:eastAsia="Calibri" w:cs="Garamond" w:ascii="Garamond" w:hAnsi="Garamond"/>
          <w:b/>
          <w:bCs/>
          <w:sz w:val="22"/>
          <w:szCs w:val="22"/>
        </w:rPr>
        <w:t xml:space="preserve">{{p.nominativo}}</w:t>
      </w:r>
      <w:r>
        <w:rPr>
          <w:rFonts w:eastAsia="Calibri" w:cs="Garamond" w:ascii="Garamond" w:hAnsi="Garamond"/>
          <w:sz w:val="22"/>
          <w:szCs w:val="22"/>
        </w:rPr>
        <w:t xml:space="preserve"> di essere di stato civile {{p.stato_civile}}{% if not loop.last %}{% if loop.revindex == 2 %} e {% else %}, {% endif %}{% endif %}{% endfor %}.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b/>
          <w:bCs/>
          <w:sz w:val="22"/>
          <w:szCs w:val="22"/>
        </w:rPr>
      </w:pPr>
      <w:r>
        <w:rPr>
          <w:rFonts w:cs="Garamond" w:ascii="Garamond" w:hAnsi="Garamond"/>
          <w:b/>
          <w:bCs/>
          <w:sz w:val="22"/>
          <w:szCs w:val="22"/>
        </w:rPr>
        <w:t xml:space="preserve">Articolo 7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7.1. Ai sensi del GDPR Ue 2016/679, entrambe le parti autorizzano al trattamento dei dati relativi al presente contratto anche a mezzo di professionisti, terzi, società di consulenza e di elaborazione dati. Entrambe le parti si impegnano a considerare ogni dato, notizia, fatto o circostanza di cui sono venute a conoscenza in ragione del presente contratto e, per l'effetto, si obbligano a non divulgare a terzi, né ad utilizzare quanto venuto a conoscenza per fini diversi da quelli strettamente connessi al presente atto.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b/>
          <w:bCs/>
          <w:sz w:val="22"/>
          <w:szCs w:val="22"/>
        </w:rPr>
      </w:pPr>
      <w:r>
        <w:rPr>
          <w:rFonts w:cs="Garamond" w:ascii="Garamond" w:hAnsi="Garamond"/>
          <w:b/>
          <w:bCs/>
          <w:sz w:val="22"/>
          <w:szCs w:val="22"/>
        </w:rPr>
        <w:t xml:space="preserve">Articolo 8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8.1. Le parti convengono che ogni controversia relativa all’interpretazione, alla patologia e all’esecuzione del presente contratto e, comunque, allo stesso in qualsiasi modo collegata, sarà devoluta alla competenza esclusiva del Foro di {{F.foro}}.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8.2. Il presente contratto preliminare, composto di {{F.pagine}} pagine, oltre {% if I.n_planimetrie == 1 %}alla 1 (una) planimetria allegata{% else %}alle {{I.planimetrie}} planimetrie allegate{% endif %}, viene sottoscritto dalle parti in triplice copia originale.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8.3. Qualunque modifica del presente atto dovrà essere approvata dalle Parti mediante atto scritto.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LETTO, CONFERMATO E SOTTOSCRITTO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eastAsia="Calibri" w:cs="Garamond"/>
          <w:sz w:val="22"/>
          <w:szCs w:val="22"/>
        </w:rPr>
      </w:pPr>
      <w:r>
        <w:rPr>
          <w:rFonts w:eastAsia="Calibri" w:cs="Garamond" w:ascii="Garamond" w:hAnsi="Garamond"/>
          <w:sz w:val="22"/>
          <w:szCs w:val="22"/>
        </w:rPr>
        <w:t xml:space="preserve">{{F.luogo}}, lì {{F.data}}</w:t>
      </w:r>
    </w:p>
    <w:p>
      <w:pPr>
        <w:pStyle w:val="Normal"/>
        <w:autoSpaceDE w:val="false"/>
        <w:spacing w:lineRule="exact" w:line="480"/>
        <w:jc w:val="both"/>
        <w:rPr>
          <w:rFonts w:ascii="Garamond" w:hAnsi="Garamond" w:cs="Garamond"/>
          <w:sz w:val="21"/>
          <w:szCs w:val="21"/>
        </w:rPr>
      </w:pPr>
      <w:r>
        <w:rPr>
          <w:rFonts w:cs="Garamond" w:ascii="Garamond" w:hAnsi="Garamond"/>
          <w:sz w:val="22"/>
          <w:szCs w:val="22"/>
        </w:rPr>
        <w:t xml:space="preserve">"Parte Promittente Venditrice"			                "Parte Promissaria Acquirente"</w:t>
      </w:r>
    </w:p>
    <w:sectPr>
      <w:headerReference w:type="default" r:id="rId2"/>
      <w:footerReference w:type="default" r:id="rId3"/>
      <w:type w:val="nextPage"/>
      <w:pgSz w:w="11906" w:h="16838"/>
      <w:pgMar w:left="1560" w:right="1558" w:gutter="0" w:header="720" w:top="1135" w:footer="720" w:bottom="1701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aramond">
    <w:charset w:val="00" w:characterSet="windows-1252"/>
    <w:family w:val="roman"/>
    <w:pitch w:val="variable"/>
  </w:font>
  <w:font w:name="OpenSymbol">
    <w:altName w:val="Arial Unicode MS"/>
    <w:charset w:val="80"/>
    <w:family w:val="auto"/>
    <w:pitch w:val="default"/>
  </w:font>
  <w:font w:name="Century Gothic">
    <w:charset w:val="00" w:characterSet="windows-1252"/>
    <w:family w:val="swiss"/>
    <w:pitch w:val="variable"/>
  </w:font>
  <w:font w:name="Courier">
    <w:altName w:val="Courier New"/>
    <w:charset w:val="00" w:characterSet="windows-1252"/>
    <w:family w:val="modern"/>
    <w:pitch w:val="default"/>
  </w:font>
  <w:font w:name="Book Antiqu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8"/>
        <w:lang w:val="en-US" w:eastAsia="en-US"/>
      </w:rPr>
    </w:pPr>
    <w:r>
      <w:rPr>
        <w:sz w:val="28"/>
        <w:lang w:val="en-US" w:eastAsia="en-US"/>
      </w:rPr>
    </w:r>
  </w:p>
  <w:p>
    <w:pPr>
      <w:pStyle w:val="Header"/>
      <w:spacing w:lineRule="exact" w:line="466"/>
      <w:ind w:end="360"/>
      <w:rPr>
        <w:b/>
        <w:sz w:val="28"/>
        <w:lang w:val="en-US" w:eastAsia="en-US"/>
      </w:rPr>
    </w:pPr>
    <w:r>
      <w:rPr>
        <w:b/>
        <w:sz w:val="28"/>
        <w:lang w:val="en-US" w:eastAsia="en-US"/>
      </w:rPr>
    </w:r>
  </w:p>
  <w:p>
    <w:pPr>
      <w:pStyle w:val="Header"/>
      <w:spacing w:lineRule="exact" w:line="466"/>
      <w:ind w:end="360"/>
      <w:rPr>
        <w:b/>
      </w:rPr>
    </w:pPr>
    <w:r>
      <w:rPr>
        <w:b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>
        <w:rFonts w:ascii="Symbol" w:hAnsi="Symbol" w:cs="Symbol"/>
      </w:r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>
        <w:rFonts w:ascii="Courier New" w:hAnsi="Courier New" w:cs="Courier New"/>
      </w:r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>
        <w:rFonts w:ascii="Wingdings" w:hAnsi="Wingdings" w:cs="Wingdings"/>
      </w:r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3"/>
      <w:numFmt w:val="decimal"/>
      <w:lvlText w:val="%1"/>
      <w:lvlJc w:val="start"/>
      <w:pPr>
        <w:tabs>
          <w:tab w:val="num" w:pos="0"/>
        </w:tabs>
        <w:ind w:start="360" w:hanging="360"/>
      </w:pPr>
      <w:rPr>
        <w:rFonts w:eastAsia="Times New Roman"/>
      </w:rPr>
    </w:lvl>
    <w:lvl w:ilvl="1">
      <w:start w:val="2"/>
      <w:numFmt w:val="decimal"/>
      <w:lvlText w:val="%1.%2"/>
      <w:lvlJc w:val="start"/>
      <w:pPr>
        <w:tabs>
          <w:tab w:val="num" w:pos="0"/>
        </w:tabs>
        <w:ind w:start="1440" w:hanging="360"/>
      </w:pPr>
      <w:rPr>
        <w:rFonts w:eastAsia="Times New Roman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880" w:hanging="720"/>
      </w:pPr>
      <w:rPr>
        <w:rFonts w:eastAsia="Times New Roman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4320" w:hanging="1080"/>
      </w:pPr>
      <w:rPr>
        <w:rFonts w:eastAsia="Times New Roman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5400" w:hanging="1080"/>
      </w:pPr>
      <w:rPr>
        <w:rFonts w:eastAsia="Times New Roman"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6840" w:hanging="1440"/>
      </w:pPr>
      <w:rPr>
        <w:rFonts w:eastAsia="Times New Roman"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7920" w:hanging="1440"/>
      </w:pPr>
      <w:rPr>
        <w:rFonts w:eastAsia="Times New Roman"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9360" w:hanging="1800"/>
      </w:pPr>
      <w:rPr>
        <w:rFonts w:eastAsia="Times New Roman"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0440" w:hanging="1800"/>
      </w:pPr>
      <w:rPr>
        <w:rFonts w:eastAsia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isplayBackgroundShape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BodyText"/>
    <w:qFormat/>
    <w:pPr>
      <w:keepLines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sz w:val="24"/>
      <w:u w:val="single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tLeast" w:line="480"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spacing w:lineRule="atLeast" w:line="480"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pacing w:lineRule="atLeast" w:line="480"/>
      <w:jc w:val="center"/>
      <w:outlineLvl w:val="4"/>
    </w:pPr>
    <w:rPr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spacing w:lineRule="exact" w:line="480"/>
      <w:outlineLvl w:val="5"/>
    </w:pPr>
    <w:rPr>
      <w:color w:val="FF0000"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  <w:sz w:val="22"/>
      <w:szCs w:val="22"/>
      <w:lang w:eastAsia="en-US"/>
    </w:rPr>
  </w:style>
  <w:style w:type="character" w:styleId="WW8Num2z2">
    <w:name w:val="WW8Num2z2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eastAsia="Times New Roman"/>
    </w:rPr>
  </w:style>
  <w:style w:type="character" w:styleId="WW8Num5z0">
    <w:name w:val="WW8Num5z0"/>
    <w:qFormat/>
    <w:rPr>
      <w:rFonts w:ascii="Garamond" w:hAnsi="Garamond" w:eastAsia="Calibri" w:cs="Garamond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-Absatz-Standardschriftart11111">
    <w:name w:val="WW-Absatz-Standardschriftart11111"/>
    <w:qFormat/>
    <w:rPr/>
  </w:style>
  <w:style w:type="character" w:styleId="WW8Num8z0">
    <w:name w:val="WW8Num8z0"/>
    <w:qFormat/>
    <w:rPr>
      <w:rFonts w:ascii="Wingdings" w:hAnsi="Wingdings" w:cs="Wingdings"/>
    </w:rPr>
  </w:style>
  <w:style w:type="character" w:styleId="WW-Absatz-Standardschriftart111111">
    <w:name w:val="WW-Absatz-Standardschriftart111111"/>
    <w:qFormat/>
    <w:rPr/>
  </w:style>
  <w:style w:type="character" w:styleId="WW-Absatz-Standardschriftart1111111">
    <w:name w:val="WW-Absatz-Standardschriftart1111111"/>
    <w:qFormat/>
    <w:rPr/>
  </w:style>
  <w:style w:type="character" w:styleId="WW-Absatz-Standardschriftart11111111">
    <w:name w:val="WW-Absatz-Standardschriftart11111111"/>
    <w:qFormat/>
    <w:rPr/>
  </w:style>
  <w:style w:type="character" w:styleId="WW-Absatz-Standardschriftart111111111">
    <w:name w:val="WW-Absatz-Standardschriftart111111111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-Absatz-Standardschriftart1111111111">
    <w:name w:val="WW-Absatz-Standardschriftart1111111111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eastAsia="Times New Roman" w:cs="Times New Roman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6z4">
    <w:name w:val="WW8Num16z4"/>
    <w:qFormat/>
    <w:rPr>
      <w:rFonts w:ascii="Courier New" w:hAnsi="Courier New" w:cs="Courier New"/>
    </w:rPr>
  </w:style>
  <w:style w:type="character" w:styleId="WW8Num17z0">
    <w:name w:val="WW8Num17z0"/>
    <w:qFormat/>
    <w:rPr>
      <w:rFonts w:ascii="Times New Roman" w:hAnsi="Times New Roman" w:eastAsia="Times New Roman" w:cs="Times New Roman"/>
      <w:sz w:val="28"/>
      <w:szCs w:val="28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Carpredefinitoparagrafo1">
    <w:name w:val="Car. predefinito paragrafo1"/>
    <w:qFormat/>
    <w:rPr/>
  </w:style>
  <w:style w:type="character" w:styleId="PageNumber">
    <w:name w:val="Page Number"/>
    <w:basedOn w:val="Carpredefinitoparagrafo1"/>
    <w:rPr/>
  </w:style>
  <w:style w:type="character" w:styleId="Caratteredellanota">
    <w:name w:val="Carattere della nota"/>
    <w:qFormat/>
    <w:rPr>
      <w:vertAlign w:val="superscript"/>
    </w:rPr>
  </w:style>
  <w:style w:type="character" w:styleId="Rimandocommento1">
    <w:name w:val="Rimando commento1"/>
    <w:qFormat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rPr/>
  </w:style>
  <w:style w:type="character" w:styleId="Caratteredinumerazione">
    <w:name w:val="Carattere di numerazione"/>
    <w:qFormat/>
    <w:rPr/>
  </w:style>
  <w:style w:type="character" w:styleId="Punti">
    <w:name w:val="Punti"/>
    <w:qFormat/>
    <w:rPr>
      <w:rFonts w:ascii="OpenSymbol;Yu Gothic" w:hAnsi="OpenSymbol;Yu Gothic" w:eastAsia="OpenSymbol;Yu Gothic" w:cs="OpenSymbol;Yu Gothic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Subtitle"/>
    <w:qFormat/>
    <w:pPr>
      <w:widowControl w:val="false"/>
      <w:spacing w:lineRule="exact" w:line="480"/>
      <w:jc w:val="center"/>
    </w:pPr>
    <w:rPr>
      <w:rFonts w:ascii="Century Gothic" w:hAnsi="Century Gothic" w:cs="Century Gothic"/>
      <w:b/>
      <w:sz w:val="18"/>
    </w:rPr>
  </w:style>
  <w:style w:type="paragraph" w:styleId="BodyText">
    <w:name w:val="Body Text"/>
    <w:pPr>
      <w:widowControl/>
      <w:suppressAutoHyphens w:val="true"/>
      <w:bidi w:val="0"/>
    </w:pPr>
    <w:rPr>
      <w:rFonts w:ascii="Times New Roman" w:hAnsi="Times New Roman" w:eastAsia="Times New Roman" w:cs="Times New Roman"/>
      <w:color w:val="000000"/>
      <w:sz w:val="24"/>
      <w:szCs w:val="20"/>
      <w:lang w:val="it-IT" w:bidi="ar-SA" w:eastAsia="zh-C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testazione1">
    <w:name w:val="Intestazione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Didascalia1">
    <w:name w:val="Didascalia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Subtitle">
    <w:name w:val="Subtitle"/>
    <w:basedOn w:val="Normal"/>
    <w:next w:val="BodyText"/>
    <w:qFormat/>
    <w:pPr>
      <w:keepNext w:val="true"/>
      <w:spacing w:lineRule="atLeast" w:line="480"/>
      <w:jc w:val="center"/>
    </w:pPr>
    <w:rPr>
      <w:b/>
      <w:smallCaps/>
      <w:sz w:val="24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estopredefi">
    <w:name w:val="Testo predefi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000000"/>
      <w:sz w:val="24"/>
      <w:szCs w:val="20"/>
      <w:lang w:val="it-IT" w:bidi="ar-SA" w:eastAsia="zh-CN"/>
    </w:rPr>
  </w:style>
  <w:style w:type="paragraph" w:styleId="WW-Corpotesto">
    <w:name w:val="WW-Corpo testo"/>
    <w:basedOn w:val="Normal"/>
    <w:qFormat/>
    <w:pPr>
      <w:jc w:val="center"/>
    </w:pPr>
    <w:rPr>
      <w:b/>
      <w:color w:val="000000"/>
      <w:sz w:val="28"/>
    </w:rPr>
  </w:style>
  <w:style w:type="paragraph" w:styleId="BodyTextIndent">
    <w:name w:val="Body Text Indent"/>
    <w:basedOn w:val="Normal"/>
    <w:pPr>
      <w:ind w:firstLine="708" w:start="0" w:end="0"/>
      <w:jc w:val="both"/>
    </w:pPr>
    <w:rPr>
      <w:color w:val="000000"/>
      <w:sz w:val="24"/>
    </w:rPr>
  </w:style>
  <w:style w:type="paragraph" w:styleId="Testonormale1">
    <w:name w:val="Testo normale1"/>
    <w:basedOn w:val="Normal"/>
    <w:qFormat/>
    <w:pPr/>
    <w:rPr>
      <w:rFonts w:ascii="Courier New" w:hAnsi="Courier New" w:cs="Courier New"/>
      <w:color w:val="000000"/>
    </w:rPr>
  </w:style>
  <w:style w:type="paragraph" w:styleId="Testopredefinito">
    <w:name w:val="Testo predefinito"/>
    <w:basedOn w:val="Normal"/>
    <w:qFormat/>
    <w:pPr/>
    <w:rPr>
      <w:sz w:val="24"/>
      <w:lang w:val="en-US"/>
    </w:rPr>
  </w:style>
  <w:style w:type="paragraph" w:styleId="corpotesto">
    <w:name w:val="corpo testo"/>
    <w:basedOn w:val="Normal"/>
    <w:qFormat/>
    <w:pPr>
      <w:keepLines/>
      <w:jc w:val="both"/>
    </w:pPr>
    <w:rPr>
      <w:sz w:val="24"/>
      <w:lang w:val="en-US"/>
    </w:rPr>
  </w:style>
  <w:style w:type="paragraph" w:styleId="Corpodeltesto31">
    <w:name w:val="Corpo del testo 31"/>
    <w:basedOn w:val="Normal"/>
    <w:qFormat/>
    <w:pPr>
      <w:widowControl w:val="false"/>
      <w:spacing w:lineRule="atLeast" w:line="480"/>
      <w:jc w:val="center"/>
    </w:pPr>
    <w:rPr>
      <w:b/>
      <w:sz w:val="24"/>
      <w:u w:val="single"/>
    </w:rPr>
  </w:style>
  <w:style w:type="paragraph" w:styleId="Rientronormale1">
    <w:name w:val="Rientro normale1"/>
    <w:basedOn w:val="Normal"/>
    <w:qFormat/>
    <w:pPr>
      <w:spacing w:lineRule="exact" w:line="473"/>
      <w:ind w:hanging="284" w:start="284" w:end="0"/>
      <w:jc w:val="both"/>
    </w:pPr>
    <w:rPr>
      <w:rFonts w:ascii="Courier" w:hAnsi="Courier" w:cs="Courier"/>
      <w:sz w:val="24"/>
    </w:rPr>
  </w:style>
  <w:style w:type="paragraph" w:styleId="Corpodeltesto21">
    <w:name w:val="Corpo del testo 21"/>
    <w:basedOn w:val="Normal"/>
    <w:qFormat/>
    <w:pPr>
      <w:widowControl w:val="false"/>
      <w:tabs>
        <w:tab w:val="clear" w:pos="708"/>
        <w:tab w:val="left" w:pos="357" w:leader="none"/>
        <w:tab w:val="center" w:pos="3402" w:leader="none"/>
      </w:tabs>
      <w:spacing w:lineRule="exact" w:line="480"/>
      <w:jc w:val="both"/>
    </w:pPr>
    <w:rPr>
      <w:sz w:val="22"/>
    </w:rPr>
  </w:style>
  <w:style w:type="paragraph" w:styleId="Testopredefinito1">
    <w:name w:val="Testo predefinito:1"/>
    <w:basedOn w:val="Normal"/>
    <w:qFormat/>
    <w:pPr/>
    <w:rPr>
      <w:sz w:val="24"/>
      <w:lang w:val="en-US"/>
    </w:rPr>
  </w:style>
  <w:style w:type="paragraph" w:styleId="Rientrocorpodeltesto21">
    <w:name w:val="Rientro corpo del testo 21"/>
    <w:basedOn w:val="Normal"/>
    <w:qFormat/>
    <w:pPr>
      <w:ind w:firstLine="709" w:start="0" w:end="0"/>
      <w:jc w:val="both"/>
    </w:pPr>
    <w:rPr>
      <w:rFonts w:ascii="Book Antiqua" w:hAnsi="Book Antiqua" w:cs="Book Antiqua"/>
      <w:b/>
      <w:sz w:val="22"/>
      <w:u w:val="single"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Rientrocorpodeltesto31">
    <w:name w:val="Rientro corpo del testo 31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MarcoNormale">
    <w:name w:val="Marco Normale"/>
    <w:basedOn w:val="Normal"/>
    <w:qFormat/>
    <w:pPr>
      <w:spacing w:lineRule="auto" w:line="480"/>
      <w:jc w:val="both"/>
    </w:pPr>
    <w:rPr>
      <w:rFonts w:ascii="Tahoma" w:hAnsi="Tahoma" w:cs="Tahoma"/>
      <w:sz w:val="24"/>
    </w:rPr>
  </w:style>
  <w:style w:type="paragraph" w:styleId="Titolo3-">
    <w:name w:val="Titolo 3-"/>
    <w:basedOn w:val="Normal"/>
    <w:qFormat/>
    <w:pPr>
      <w:spacing w:before="120" w:after="0"/>
    </w:pPr>
    <w:rPr>
      <w:rFonts w:ascii="Courier New" w:hAnsi="Courier New" w:cs="Courier New"/>
      <w:sz w:val="24"/>
      <w:szCs w:val="24"/>
    </w:rPr>
  </w:style>
  <w:style w:type="paragraph" w:styleId="NormaleWeb">
    <w:name w:val="Normale (Web)"/>
    <w:basedOn w:val="Normal"/>
    <w:qFormat/>
    <w:pPr>
      <w:spacing w:before="100" w:after="100"/>
    </w:pPr>
    <w:rPr>
      <w:rFonts w:ascii="Arial Unicode MS" w:hAnsi="Arial Unicode MS" w:eastAsia="Arial Unicode MS" w:cs="Arial Unicode MS"/>
      <w:sz w:val="24"/>
      <w:szCs w:val="24"/>
    </w:rPr>
  </w:style>
  <w:style w:type="paragraph" w:styleId="FootnoteText">
    <w:name w:val="Footnote Text"/>
    <w:basedOn w:val="Normal"/>
    <w:pPr>
      <w:spacing w:before="120" w:after="0"/>
    </w:pPr>
    <w:rPr>
      <w:rFonts w:ascii="Courier New" w:hAnsi="Courier New" w:cs="Courier New"/>
    </w:rPr>
  </w:style>
  <w:style w:type="paragraph" w:styleId="Corpodeltesto4">
    <w:name w:val="Corpo del testo 4"/>
    <w:basedOn w:val="BodyTextIndent"/>
    <w:qFormat/>
    <w:pPr>
      <w:spacing w:before="0" w:after="120"/>
      <w:ind w:hanging="0" w:start="283" w:end="0"/>
      <w:jc w:val="start"/>
    </w:pPr>
    <w:rPr>
      <w:color w:val="000000"/>
      <w:szCs w:val="24"/>
    </w:rPr>
  </w:style>
  <w:style w:type="paragraph" w:styleId="Puntoelenco21">
    <w:name w:val="Punto elenco 21"/>
    <w:basedOn w:val="Normal"/>
    <w:qFormat/>
    <w:pPr>
      <w:widowControl w:val="false"/>
      <w:spacing w:lineRule="auto" w:line="360"/>
      <w:jc w:val="center"/>
    </w:pPr>
    <w:rPr>
      <w:sz w:val="26"/>
      <w:szCs w:val="24"/>
    </w:rPr>
  </w:style>
  <w:style w:type="paragraph" w:styleId="Elenco21">
    <w:name w:val="Elenco 21"/>
    <w:basedOn w:val="Normal"/>
    <w:qFormat/>
    <w:pPr>
      <w:ind w:hanging="283" w:start="566" w:end="0"/>
    </w:pPr>
    <w:rPr>
      <w:sz w:val="24"/>
      <w:szCs w:val="24"/>
    </w:rPr>
  </w:style>
  <w:style w:type="paragraph" w:styleId="Testocommento1">
    <w:name w:val="Testo commento1"/>
    <w:basedOn w:val="Normal"/>
    <w:qFormat/>
    <w:pPr/>
    <w:rPr/>
  </w:style>
  <w:style w:type="paragraph" w:styleId="Soggettocommento">
    <w:name w:val="Soggetto commento"/>
    <w:basedOn w:val="Testocommento1"/>
    <w:next w:val="Testocommento1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Contratto preliminare di compravendita</dc:title>
  <cp:lastModifiedBy>Grigolo Immobiliare</cp:lastModifiedBy>
  <cp:revision>1</cp:revision>
  <dcterms:modified xsi:type="dcterms:W3CDTF">2026-09-29T17:21:06Z</dcterms:modified>
  <dc:creator>Grigolo Immobiliare</dc:creator>
  <dc:description/>
</cp:coreProperties>
</file>