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2"/>
        <w:gridCol w:w="292"/>
        <w:gridCol w:w="2824"/>
        <w:gridCol w:w="273"/>
        <w:gridCol w:w="3018"/>
      </w:tblGrid>
      <w:tr>
        <w:trPr/>
        <w:tc>
          <w:tcPr>
            <w:tcW w:w="32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3.1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РЕКУРСИВНЫЙ АЛГОРИТМ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 и функции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1_3167806512">
            <w:r>
              <w:rPr>
                <w:webHidden/>
                <w:rStyle w:val="IndexLink"/>
              </w:rPr>
              <w:t>6 Вывод по результату тестирования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4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4"/>
        </w:numPr>
        <w:rPr/>
      </w:pPr>
      <w:r>
        <w:rPr/>
        <w:t>Протестировать функцию для всех возможных исключительных ситуаций, особое значение придается тестам на возникновение ошибок в ходе работы программы.</w:t>
      </w:r>
    </w:p>
    <w:p>
      <w:pPr>
        <w:pStyle w:val="MAINTEXT1"/>
        <w:numPr>
          <w:ilvl w:val="0"/>
          <w:numId w:val="4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4"/>
        </w:numPr>
        <w:rPr/>
      </w:pPr>
      <w:r>
        <w:rPr/>
        <w:t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рекурсивную функцию вычисления (ax + b)((a - 1) x + b - 1)...((a - k ) x + b - k )...( x + 1) по заданным a,b,x. При условии, что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a-k&lt; 1,то a-k = 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b-k&lt;1,то b-k = 1.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2, 3, 1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30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846955" cy="637222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/>
        <w:t>Функция calculate_recursion_with_debug рекурсивно вычисляет значение выражения (ax + b)((a - 1) x + b - 1)...((a - k ) x + b - k )...( x + 1) с учетом заданных значений a, b, и x. При этом, если значение выражения (a−k) или (b−k) становится меньше 1, то оно заменяется на 1. Функция также выводит отладочную информацию о каждом вызове.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a — начальное значение параметра a.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b — начальное значение параметра b.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x — начальное значение параметра x.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&amp;call_count — ссылка на переменную, отслеживающую количество вызовов функции.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k — текущий шаг рекурсии (по умолчанию 0).</w:t>
      </w:r>
    </w:p>
    <w:p>
      <w:pPr>
        <w:pStyle w:val="MAINTEXT1"/>
        <w:rPr>
          <w:lang w:val="ru-RU"/>
        </w:rPr>
      </w:pPr>
      <w:r>
        <w:rPr/>
        <w:t xml:space="preserve">Возвращает int64_t — результат вычисления выражения. </w:t>
      </w: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Увеличиваем call_count и сохраняем его значение в current_call_count.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Вычисляем текущие значения (a - k) и (b - k). Если одно из значений меньше 1, заменяем его на 1.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Выводим отладочную информацию, включающую текущий номер вызова, значение k, и текущие значения (a - k) и (b - k).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Проверяем базовый случай: если (a - k) == 1 и (b - k) == 1, вычисляем результат как 1 * x + 1, выводим отладочную информацию и возвращаем результат.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базовый случай не достигнут, вычисляем рекурсивно выражение для следующего шага k + 1 и умножаем его на текущее выражение (a - k) * x + (b - k).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Выводим отладочную информацию о возвращаемом значении и возвращаем результат.</w:t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&lt;iostream&gt;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int64_t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calculate_recursion_with_debug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a,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b,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x,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&amp;call_count,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k 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Увеличиваем номер вызова и сохраняем значение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++call_count;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Вычисляем текущие значения (a - k) и (b - k)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a_minus_k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(a - k &lt;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?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 (a - k);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b_minus_k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(b - k &lt;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?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 (b - k);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Вывод отладочной информации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"Вызов #"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": k="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k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", a-k="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a_minus_k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", b-k="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      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b_minus_k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Базовый случай: прекращаем рекурсию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a_minus_k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1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&amp;&amp;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b_minus_k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int64_t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a_minus_k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* x +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b_minus_k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"Возврат из вызова #"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Рекурсивный случай: продолжаем умножение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int64_t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a_minus_k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* x +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b_minus_k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*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calculate_recursion_with_debug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(a, b, x, call_count, k 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"Возврат из вызова #"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":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"a: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"b: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"x: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call_count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int64_t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calculate_recursion_with_debug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call_count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"Результат: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result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", глубина: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call_count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End w:id="9"/>
      <w:r>
        <w:rPr>
          <w:lang w:val="ru-RU"/>
        </w:rPr>
        <w:t>Р</w:t>
      </w:r>
      <w:bookmarkStart w:id="10" w:name="_Toc160063884"/>
      <w:r>
        <w:rPr>
          <w:lang w:val="ru-RU"/>
        </w:rPr>
        <w:t>езультаты тестирования программы и функции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204210" cy="2854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183255" cy="26422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228340" cy="30010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228340" cy="280098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br w:type="page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841750" cy="34404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3841750" cy="34404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1_3167806512"/>
      <w:bookmarkStart w:id="12" w:name="_Toc1600638802"/>
      <w:bookmarkEnd w:id="11"/>
      <w:r>
        <w:rPr>
          <w:lang w:val="ru-RU"/>
        </w:rPr>
        <w:t>Вывод по результату тестирования</w:t>
      </w:r>
      <w:bookmarkEnd w:id="12"/>
    </w:p>
    <w:p>
      <w:pPr>
        <w:pStyle w:val="MAINTEXT1"/>
        <w:rPr/>
      </w:pPr>
      <w:r>
        <w:rPr>
          <w:b/>
          <w:bCs/>
        </w:rPr>
        <w:t xml:space="preserve">Нормальные значения. </w:t>
      </w:r>
      <w:r>
        <w:rPr/>
        <w:t xml:space="preserve">Входные данные: a = 2, b = 3, x = 1. Ожидаемый результат: 30. Фактический результат: 30. Глубина рекурсии: </w:t>
      </w:r>
      <w:r>
        <w:rPr/>
        <w:t>3</w:t>
      </w:r>
      <w:r>
        <w:rPr/>
        <w:t xml:space="preserve">. Функция корректно вычисляет результат для нормальных значений </w:t>
      </w:r>
      <w:r>
        <w:rPr/>
        <w:t>(рис. 2, 3)</w:t>
      </w:r>
      <w:r>
        <w:rPr/>
        <w:t>.</w:t>
      </w:r>
    </w:p>
    <w:p>
      <w:pPr>
        <w:pStyle w:val="MAINTEXT1"/>
        <w:rPr/>
      </w:pPr>
      <w:r>
        <w:rPr>
          <w:b/>
          <w:bCs/>
        </w:rPr>
        <w:t xml:space="preserve">Отрицательные </w:t>
      </w:r>
      <w:r>
        <w:rPr>
          <w:b/>
          <w:bCs/>
        </w:rPr>
        <w:t xml:space="preserve">и нулевые </w:t>
      </w:r>
      <w:r>
        <w:rPr>
          <w:b/>
          <w:bCs/>
        </w:rPr>
        <w:t xml:space="preserve">значения. </w:t>
      </w:r>
      <w:r>
        <w:rPr/>
        <w:t>Входные данные: a = -</w:t>
      </w:r>
      <w:r>
        <w:rPr/>
        <w:t>1000</w:t>
      </w:r>
      <w:r>
        <w:rPr/>
        <w:t xml:space="preserve">, b = </w:t>
      </w:r>
      <w:r>
        <w:rPr/>
        <w:t>5</w:t>
      </w:r>
      <w:r>
        <w:rPr/>
        <w:t xml:space="preserve">, x = </w:t>
      </w:r>
      <w:r>
        <w:rPr/>
        <w:t>2</w:t>
      </w:r>
      <w:r>
        <w:rPr/>
        <w:t xml:space="preserve">. Фактический результат: </w:t>
      </w:r>
      <w:r>
        <w:rPr/>
        <w:t>2520. Глубина рекурсии: 5</w:t>
      </w:r>
      <w:r>
        <w:rPr/>
        <w:t xml:space="preserve">. </w:t>
      </w:r>
      <w:r>
        <w:rPr/>
        <w:t xml:space="preserve">При значениях a, b &lt; 2 значение (a-k) или (b-k) сразу становится </w:t>
      </w:r>
      <w:r>
        <w:rPr>
          <w:rFonts w:eastAsia="Times New Roman" w:cs="Times New Roman" w:ascii="Times New Roman" w:hAnsi="Times New Roman"/>
        </w:rPr>
        <w:t>≤ 1</w:t>
      </w:r>
      <w:r>
        <w:rPr/>
        <w:t>, соответственно приравниваются 1 и вычисления происходят обычным образом (рис. 4, 5)</w:t>
      </w:r>
      <w:r>
        <w:rPr/>
        <w:t>.</w:t>
      </w:r>
    </w:p>
    <w:p>
      <w:pPr>
        <w:pStyle w:val="MAINTEXT1"/>
        <w:rPr/>
      </w:pPr>
      <w:r>
        <w:rPr>
          <w:b/>
          <w:bCs/>
        </w:rPr>
        <w:t>Б</w:t>
      </w:r>
      <w:r>
        <w:rPr>
          <w:b/>
          <w:bCs/>
        </w:rPr>
        <w:t xml:space="preserve">ольшие значения. </w:t>
      </w:r>
      <w:r>
        <w:rPr/>
        <w:t xml:space="preserve">Функция сталкивается с переполнением стека </w:t>
      </w:r>
      <w:r>
        <w:rPr/>
        <w:t>(рис. 6)</w:t>
      </w:r>
      <w:r>
        <w:rPr/>
        <w:t xml:space="preserve"> или переполнением целочисленных типов </w:t>
      </w:r>
      <w:r>
        <w:rPr/>
        <w:t>(рис. 7)</w:t>
      </w:r>
      <w:r>
        <w:rPr/>
        <w:t xml:space="preserve"> при больших значениях. </w:t>
      </w:r>
      <w:r>
        <w:rPr/>
        <w:t>Чтобы избежать переполнения стека, стоит использовать итеративный метод  для решения задачи, или же искусственно ограничить глубину рекурсии.</w:t>
      </w:r>
      <w:r>
        <w:rPr/>
        <w:t xml:space="preserve"> Для работы с большими значениями </w:t>
      </w:r>
      <w:r>
        <w:rPr/>
        <w:t>по</w:t>
      </w:r>
      <w:r>
        <w:rPr/>
        <w:t>требуется использование специальных библиотек для длинной арифметики.</w:t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4708525" cy="280098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</w:p>
    <w:p>
      <w:pPr>
        <w:pStyle w:val="MAINTEXT1"/>
        <w:rPr>
          <w:lang w:val="ru-RU"/>
        </w:rPr>
      </w:pPr>
      <w:r>
        <w:rPr/>
        <w:t>Из рис. 8 видно, что функция алгоритмически корректно решает задачу (при условии, что входные значения не слишком велики).</w:t>
      </w:r>
    </w:p>
    <w:sectPr>
      <w:footerReference w:type="default" r:id="rId10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scadia Code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14011502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1467</TotalTime>
  <Application>LibreOffice/7.3.7.2$Linux_X86_64 LibreOffice_project/30$Build-2</Application>
  <AppVersion>15.0000</AppVersion>
  <Pages>10</Pages>
  <Words>898</Words>
  <Characters>4763</Characters>
  <CharactersWithSpaces>5723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2024-05-20T03:31:58Z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