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proofErr w:type="spellStart"/>
          <w:r w:rsidRPr="00D4786A">
            <w:rPr>
              <w:rFonts w:asciiTheme="minorHAnsi" w:hAnsiTheme="minorHAnsi"/>
            </w:rPr>
            <w:t>Inhalt</w:t>
          </w:r>
          <w:proofErr w:type="spellEnd"/>
        </w:p>
        <w:p w:rsidR="00D4786A" w:rsidRPr="00D4786A" w:rsidRDefault="00CF17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CF1700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Pr="00D4786A">
        <w:t xml:space="preserve">autoamtisch ausgeführt. </w:t>
      </w:r>
    </w:p>
    <w:p w:rsidR="008752AB" w:rsidRPr="00D4786A" w:rsidRDefault="004D2770" w:rsidP="0036754F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>St</w:t>
      </w:r>
      <w:r w:rsidR="00557C01">
        <w:t>o</w:t>
      </w:r>
      <w:r w:rsidRPr="00D4786A">
        <w:t xml:space="preserve">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C73B64" w:rsidRPr="00D4786A" w:rsidRDefault="00C73B64" w:rsidP="00C73B64">
      <w:pPr>
        <w:pStyle w:val="ListParagraph"/>
        <w:ind w:left="708"/>
      </w:pPr>
      <w:r>
        <w:rPr>
          <w:noProof/>
          <w:lang w:eastAsia="de-AT"/>
        </w:rPr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lastRenderedPageBreak/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0A356B" w:rsidRDefault="000A356B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Lagerinfo product attribute anlegen. </w:t>
      </w:r>
    </w:p>
    <w:p w:rsidR="000A356B" w:rsidRDefault="000A356B" w:rsidP="000A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de-AT"/>
        </w:rPr>
        <w:drawing>
          <wp:inline distT="0" distB="0" distL="0" distR="0">
            <wp:extent cx="2458142" cy="37836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07" cy="37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01" w:rsidRDefault="00557C01" w:rsidP="0055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für Preise Aktualisieren in IntraSell</w:t>
      </w:r>
    </w:p>
    <w:p w:rsidR="00557C01" w:rsidRDefault="00557C01" w:rsidP="00557C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update grArtikel gr ,  `grartikel-vkpreisperselection` g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set    preisats = vkpreis, preisats_brutto=vkpreis*1.2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proofErr w:type="gramStart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WHERE 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gr.artnr</w:t>
      </w:r>
      <w:proofErr w:type="spellEnd"/>
      <w:proofErr w:type="gram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  &gt; 0 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idnr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= -1 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PreislisteName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like '1-%'and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g.artnr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=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gr.artnr</w:t>
      </w:r>
      <w:proofErr w:type="spellEnd"/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proofErr w:type="gramStart"/>
      <w:r w:rsidRPr="00557C01">
        <w:rPr>
          <w:rFonts w:ascii="Consolas" w:hAnsi="Consolas" w:cs="Consolas"/>
          <w:i/>
          <w:sz w:val="19"/>
          <w:szCs w:val="19"/>
          <w:lang w:val="en-US"/>
        </w:rPr>
        <w:t>and</w:t>
      </w:r>
      <w:proofErr w:type="gram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stkab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&lt;= 1 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vkpreis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is not null;</w:t>
      </w:r>
    </w:p>
    <w:p w:rsidR="00CB0B53" w:rsidRPr="00557C01" w:rsidRDefault="00CB0B53" w:rsidP="00CB0B53">
      <w:pPr>
        <w:pStyle w:val="ListParagraph"/>
        <w:rPr>
          <w:lang w:val="en-US"/>
        </w:rPr>
      </w:pPr>
    </w:p>
    <w:p w:rsidR="0036754F" w:rsidRPr="00557C01" w:rsidRDefault="0036754F" w:rsidP="007F2518">
      <w:pPr>
        <w:rPr>
          <w:lang w:val="en-US"/>
        </w:rPr>
      </w:pPr>
    </w:p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lastRenderedPageBreak/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UID-Nummer,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AD2E68" w:rsidRDefault="00AD2E68" w:rsidP="003C25AA">
            <w:r>
              <w:t>Das Programm</w:t>
            </w:r>
            <w:r w:rsidRPr="00D4786A">
              <w:t xml:space="preserve"> </w:t>
            </w:r>
            <w:r>
              <w:t xml:space="preserve">setz ein zufälliges Passwort. </w:t>
            </w:r>
          </w:p>
          <w:p w:rsidR="00AD2E68" w:rsidRDefault="00AD2E68" w:rsidP="003C25AA"/>
          <w:p w:rsidR="000450A3" w:rsidRDefault="000450A3" w:rsidP="003C25AA">
            <w:r w:rsidRPr="00D4786A">
              <w:t>Wenn nicht notwendig muss auskommenitert werden</w:t>
            </w:r>
            <w:r w:rsidR="00AD2E68">
              <w:t xml:space="preserve">. </w:t>
            </w:r>
          </w:p>
          <w:p w:rsidR="00AD2E68" w:rsidRDefault="00AD2E68" w:rsidP="003C25AA"/>
          <w:p w:rsidR="00AD2E68" w:rsidRDefault="00AD2E68" w:rsidP="003C25AA">
            <w:r>
              <w:t>Im Admin Bereich von Magenot kan ein neues Paswort für den Kunden gesetzt werden. Lt. Manuel werden alle Kunden ein neues Passwort automatisch bekommen.</w:t>
            </w:r>
          </w:p>
          <w:p w:rsidR="00AD2E68" w:rsidRPr="00D4786A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00055E" w:rsidRDefault="000450A3" w:rsidP="003C25AA">
            <w:r w:rsidRPr="0000055E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00055E" w:rsidRDefault="0000055E" w:rsidP="003C25AA">
            <w:r w:rsidRPr="0000055E">
              <w:t>website</w:t>
            </w:r>
            <w:r w:rsidR="00F92E13" w:rsidRPr="0000055E">
              <w:t>_id</w:t>
            </w:r>
          </w:p>
        </w:tc>
        <w:tc>
          <w:tcPr>
            <w:tcW w:w="3039" w:type="dxa"/>
          </w:tcPr>
          <w:p w:rsidR="000450A3" w:rsidRPr="0000055E" w:rsidRDefault="0000055E" w:rsidP="003C25AA">
            <w:r>
              <w:t xml:space="preserve"> </w:t>
            </w:r>
          </w:p>
          <w:p w:rsidR="00C81D4A" w:rsidRDefault="00C81D4A" w:rsidP="003C25AA">
            <w:r w:rsidRPr="0000055E">
              <w:t>Aktuell kann nur einen Mandant importiert werden. Prospro.</w:t>
            </w:r>
          </w:p>
          <w:p w:rsidR="0000055E" w:rsidRDefault="0000055E" w:rsidP="003C25AA">
            <w:r>
              <w:t xml:space="preserve">D.h der Kunde wird je mandant nur einer web site zugeordnet. </w:t>
            </w:r>
          </w:p>
          <w:p w:rsidR="0000055E" w:rsidRDefault="0000055E" w:rsidP="003C25AA">
            <w:r>
              <w:t>z.Bsp. Kunden mit Mandant Prostpro werden der webseite Prospro zugeordnet.</w:t>
            </w:r>
          </w:p>
          <w:p w:rsidR="00AD2E68" w:rsidRPr="0000055E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Endverbraucher / 2 = Großhandel / 4 = Exportkunden </w:t>
            </w:r>
          </w:p>
          <w:p w:rsidR="000450A3" w:rsidRPr="00D4786A" w:rsidRDefault="000450A3" w:rsidP="00F3066E">
            <w:r w:rsidRPr="00D4786A">
              <w:t xml:space="preserve">Europa) –beliebig </w:t>
            </w:r>
            <w:r w:rsidRPr="00D4786A">
              <w:lastRenderedPageBreak/>
              <w:t xml:space="preserve">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lastRenderedPageBreak/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r w:rsidRPr="00D4786A">
              <w:rPr>
                <w:rFonts w:cs="Consolas"/>
                <w:color w:val="A31515"/>
                <w:lang w:val="en-US"/>
              </w:rPr>
              <w:t xml:space="preserve">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meta_description</w:t>
            </w:r>
            <w:proofErr w:type="spellEnd"/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proofErr w:type="gram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proofErr w:type="gramEnd"/>
            <w:r w:rsidRPr="00D4786A">
              <w:rPr>
                <w:rFonts w:cs="Consolas"/>
                <w:color w:val="A31515"/>
                <w:lang w:val="en-US"/>
              </w:rPr>
              <w:t>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meta_keyword</w:t>
            </w:r>
            <w:proofErr w:type="spellEnd"/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07023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Lagerinfo/Bezeichnung1</w:t>
            </w:r>
          </w:p>
        </w:tc>
        <w:tc>
          <w:tcPr>
            <w:tcW w:w="2532" w:type="dxa"/>
          </w:tcPr>
          <w:p w:rsidR="00856DF7" w:rsidRPr="00D4786A" w:rsidRDefault="00856DF7" w:rsidP="0007023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Attribut.lageringo</w:t>
            </w:r>
          </w:p>
        </w:tc>
        <w:tc>
          <w:tcPr>
            <w:tcW w:w="4521" w:type="dxa"/>
          </w:tcPr>
          <w:p w:rsidR="00856DF7" w:rsidRPr="00D4786A" w:rsidRDefault="00856DF7" w:rsidP="00856DF7">
            <w:r>
              <w:t>Achtung: „</w:t>
            </w:r>
            <w:r>
              <w:rPr>
                <w:rFonts w:cs="Consolas"/>
              </w:rPr>
              <w:t xml:space="preserve">lageringo“ </w:t>
            </w:r>
            <w:r>
              <w:t xml:space="preserve"> muss als  attribut zu jedem Produkt konfiguriert werden.</w:t>
            </w: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07023F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856DF7" w:rsidRPr="00D4786A" w:rsidRDefault="00856DF7" w:rsidP="0007023F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856DF7" w:rsidRPr="00D4786A" w:rsidRDefault="00856DF7" w:rsidP="0007023F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Default="00F03021" w:rsidP="00E902D1">
            <w:r w:rsidRPr="00D4786A">
              <w:t>Bild 1 – Pfad muss in der Konfiguration eingestellt werden</w:t>
            </w:r>
            <w:r w:rsidR="00856DF7">
              <w:t xml:space="preserve">, </w:t>
            </w:r>
          </w:p>
          <w:p w:rsidR="00856DF7" w:rsidRPr="00D4786A" w:rsidRDefault="00856DF7" w:rsidP="00E902D1">
            <w:r>
              <w:t>wenn pfad nicht konfiguriert wird auch nicht exportiert.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2C43E3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  <w:proofErr w:type="spellEnd"/>
          </w:p>
        </w:tc>
      </w:tr>
      <w:tr w:rsidR="008308D4" w:rsidRPr="002C43E3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tax_class_id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  <w:proofErr w:type="spellEnd"/>
          </w:p>
        </w:tc>
      </w:tr>
      <w:tr w:rsidR="008308D4" w:rsidRPr="002C43E3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</w:t>
            </w:r>
            <w:r w:rsidRPr="00D4786A">
              <w:rPr>
                <w:rFonts w:cs="Consolas"/>
                <w:lang w:val="en-US"/>
              </w:rPr>
              <w:lastRenderedPageBreak/>
              <w:t>lity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lastRenderedPageBreak/>
              <w:t>VKPreisPerSelection</w:t>
            </w:r>
            <w:proofErr w:type="spellEnd"/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groupprices</w:t>
            </w:r>
            <w:proofErr w:type="spellEnd"/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Mit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der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Funktion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exportGroupPrices</w:t>
            </w:r>
            <w:proofErr w:type="spellEnd"/>
            <w:r w:rsidRPr="00D4786A">
              <w:rPr>
                <w:rFonts w:cs="Consolas"/>
                <w:lang w:val="en-US"/>
              </w:rPr>
              <w:t>(</w:t>
            </w:r>
            <w:proofErr w:type="spellStart"/>
            <w:r w:rsidRPr="00D4786A">
              <w:rPr>
                <w:rFonts w:cs="Consolas"/>
                <w:lang w:val="en-US"/>
              </w:rPr>
              <w:t>ISArtikel.ArtNr</w:t>
            </w:r>
            <w:proofErr w:type="spellEnd"/>
            <w:r w:rsidRPr="00D4786A">
              <w:rPr>
                <w:rFonts w:cs="Consolas"/>
                <w:lang w:val="en-US"/>
              </w:rPr>
              <w:t>, found(0).</w:t>
            </w:r>
            <w:proofErr w:type="spellStart"/>
            <w:r w:rsidRPr="00D4786A">
              <w:rPr>
                <w:rFonts w:cs="Consolas"/>
                <w:lang w:val="en-US"/>
              </w:rPr>
              <w:t>product_id</w:t>
            </w:r>
            <w:proofErr w:type="spellEnd"/>
            <w:r w:rsidRPr="00D4786A">
              <w:rPr>
                <w:rFonts w:cs="Consolas"/>
                <w:lang w:val="en-US"/>
              </w:rPr>
              <w:t>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r w:rsidR="00CF1700" w:rsidRPr="00D4786A">
        <w:fldChar w:fldCharType="begin"/>
      </w:r>
      <w:r w:rsidR="00AF0DCF" w:rsidRPr="00D4786A">
        <w:instrText xml:space="preserve"> REF _Ref397888299 \h </w:instrText>
      </w:r>
      <w:r w:rsidR="00CB3EEC" w:rsidRPr="00D4786A">
        <w:instrText xml:space="preserve"> \* MERGEFORMAT </w:instrText>
      </w:r>
      <w:r w:rsidR="00CF1700" w:rsidRPr="00D4786A">
        <w:fldChar w:fldCharType="separate"/>
      </w:r>
      <w:r w:rsidR="00AF0DCF" w:rsidRPr="00D4786A">
        <w:t>Konfiguration</w:t>
      </w:r>
      <w:r w:rsidR="00CF1700" w:rsidRPr="00D4786A">
        <w:fldChar w:fldCharType="end"/>
      </w:r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68262B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68262B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D4786A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685B72">
        <w:tc>
          <w:tcPr>
            <w:tcW w:w="2235" w:type="dxa"/>
          </w:tcPr>
          <w:p w:rsidR="001400DF" w:rsidRPr="00D4786A" w:rsidRDefault="001400DF" w:rsidP="00685B72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685B72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Kommentar</w:t>
            </w:r>
          </w:p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685B72"/>
        </w:tc>
        <w:tc>
          <w:tcPr>
            <w:tcW w:w="2532" w:type="dxa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Auftragstatus</w:t>
            </w:r>
          </w:p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Der Kunde wird notifiziert</w:t>
            </w:r>
          </w:p>
        </w:tc>
      </w:tr>
      <w:tr w:rsidR="001400DF" w:rsidRPr="00D4786A" w:rsidTr="00685B72">
        <w:tc>
          <w:tcPr>
            <w:tcW w:w="9288" w:type="dxa"/>
            <w:gridSpan w:val="4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(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magento.sessionid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 xml:space="preserve">"GLS </w:t>
            </w:r>
            <w:proofErr w:type="spellStart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Paketnummer</w:t>
            </w:r>
            <w:proofErr w:type="spellEnd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trackNumber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orderPaketnummer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)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685B72">
            <w:pPr>
              <w:rPr>
                <w:color w:val="FF0000"/>
              </w:rPr>
            </w:pPr>
            <w:r w:rsidRPr="00CB0B53">
              <w:rPr>
                <w:color w:val="FF0000"/>
              </w:rPr>
              <w:lastRenderedPageBreak/>
              <w:t>Noch nicht fertig</w:t>
            </w:r>
          </w:p>
          <w:p w:rsidR="00A5297A" w:rsidRPr="00CB0B53" w:rsidRDefault="00A5297A" w:rsidP="00685B72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 xml:space="preserve">Die Lieferscheine und Tracking Nummer </w:t>
            </w:r>
            <w:r w:rsidRPr="00D4786A">
              <w:lastRenderedPageBreak/>
              <w:t>werden exportiert.</w:t>
            </w:r>
          </w:p>
          <w:p w:rsidR="00A5297A" w:rsidRPr="00D4786A" w:rsidRDefault="00A5297A" w:rsidP="00685B72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2C43E3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</w:t>
            </w:r>
            <w:proofErr w:type="spellEnd"/>
            <w:r w:rsidRPr="00D4786A">
              <w:rPr>
                <w:rFonts w:cs="Consola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orderDetails.tax_amount</w:t>
            </w:r>
            <w:proofErr w:type="spellEnd"/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  <w:proofErr w:type="spellEnd"/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Default="00E44415" w:rsidP="00E44415">
      <w:pPr>
        <w:rPr>
          <w:lang w:val="en-US"/>
        </w:rPr>
      </w:pPr>
    </w:p>
    <w:p w:rsidR="002C43E3" w:rsidRPr="00D4786A" w:rsidRDefault="002C43E3" w:rsidP="00E44415">
      <w:pPr>
        <w:rPr>
          <w:lang w:val="en-US"/>
        </w:rPr>
      </w:pPr>
      <w:proofErr w:type="spellStart"/>
      <w:r>
        <w:rPr>
          <w:lang w:val="en-US"/>
        </w:rPr>
        <w:lastRenderedPageBreak/>
        <w:t>Bestellung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aus </w:t>
      </w:r>
      <w:proofErr w:type="spellStart"/>
      <w:r>
        <w:rPr>
          <w:lang w:val="en-US"/>
        </w:rPr>
        <w:t>Magento</w:t>
      </w:r>
      <w:proofErr w:type="spellEnd"/>
      <w:r>
        <w:rPr>
          <w:noProof/>
          <w:lang w:eastAsia="de-AT"/>
        </w:rPr>
        <w:drawing>
          <wp:inline distT="0" distB="0" distL="0" distR="0">
            <wp:extent cx="5760720" cy="529422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A6335D" w:rsidRDefault="00A6335D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>
        <w:rPr>
          <w:rFonts w:asciiTheme="minorHAnsi" w:hAnsiTheme="minorHAnsi"/>
        </w:rPr>
        <w:lastRenderedPageBreak/>
        <w:t xml:space="preserve">Automatishes Export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Tr="00A6335D">
        <w:tc>
          <w:tcPr>
            <w:tcW w:w="3070" w:type="dxa"/>
          </w:tcPr>
          <w:p w:rsidR="00A6335D" w:rsidRDefault="00A6335D" w:rsidP="00A6335D">
            <w:r>
              <w:t>Aufgabe</w:t>
            </w:r>
          </w:p>
        </w:tc>
        <w:tc>
          <w:tcPr>
            <w:tcW w:w="3071" w:type="dxa"/>
          </w:tcPr>
          <w:p w:rsidR="00A6335D" w:rsidRDefault="00A6335D" w:rsidP="00A6335D">
            <w:r>
              <w:t>Intervall</w:t>
            </w:r>
          </w:p>
        </w:tc>
        <w:tc>
          <w:tcPr>
            <w:tcW w:w="3071" w:type="dxa"/>
          </w:tcPr>
          <w:p w:rsidR="00A6335D" w:rsidRDefault="00A6335D" w:rsidP="00A6335D"/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 xml:space="preserve">Magento Neue Bestellungen -&gt; IntraSell </w:t>
            </w:r>
          </w:p>
        </w:tc>
        <w:tc>
          <w:tcPr>
            <w:tcW w:w="3071" w:type="dxa"/>
          </w:tcPr>
          <w:p w:rsidR="00A6335D" w:rsidRDefault="004214E5" w:rsidP="00A6335D">
            <w:r>
              <w:t>30</w:t>
            </w:r>
            <w:r w:rsidR="00A6335D">
              <w:t>0 Sek.</w:t>
            </w:r>
          </w:p>
        </w:tc>
        <w:tc>
          <w:tcPr>
            <w:tcW w:w="3071" w:type="dxa"/>
          </w:tcPr>
          <w:p w:rsidR="00A6335D" w:rsidRDefault="00A6335D" w:rsidP="00A6335D">
            <w:r>
              <w:t>Alle 60 Sekunden wird geprüft ob Bestellungen vorhanden sind und nach IntraSell importiert.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Lagestatus -&gt; 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2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Bestellstatus-&gt;Magento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1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</w:tbl>
    <w:p w:rsidR="00A6335D" w:rsidRPr="00A6335D" w:rsidRDefault="00A6335D" w:rsidP="00A6335D"/>
    <w:p w:rsidR="00EA58CA" w:rsidRPr="00D4786A" w:rsidRDefault="00EA58CA" w:rsidP="00EA58CA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</w:rPr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Kommentar</w:t>
            </w:r>
            <w:proofErr w:type="spellEnd"/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proofErr w:type="gram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55E38">
            <w:pPr>
              <w:autoSpaceDE w:val="0"/>
              <w:autoSpaceDN w:val="0"/>
              <w:adjustRightInd w:val="0"/>
            </w:pP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Intervall für automatische Synchronisierung</w:t>
            </w:r>
          </w:p>
          <w:p w:rsidR="00916B2F" w:rsidRPr="00D4786A" w:rsidRDefault="00916B2F" w:rsidP="00EA58CA"/>
        </w:tc>
      </w:tr>
      <w:tr w:rsidR="00955E38" w:rsidRPr="00D4786A" w:rsidTr="00900D88">
        <w:tc>
          <w:tcPr>
            <w:tcW w:w="6487" w:type="dxa"/>
          </w:tcPr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Mappings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>1-Letztverbraucher=General;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2-GH-Kunden Inland=Wholesale;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3-Exportkunden DE=Kundengruppe Test 1;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4-Exportkunden EUROPA=Kundengruppe Test 2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55E38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55E38" w:rsidRPr="00955E38" w:rsidRDefault="00955E3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</w:p>
        </w:tc>
        <w:tc>
          <w:tcPr>
            <w:tcW w:w="2801" w:type="dxa"/>
          </w:tcPr>
          <w:p w:rsidR="00955E38" w:rsidRPr="00D4786A" w:rsidRDefault="00955E38" w:rsidP="00900D88">
            <w:r>
              <w:t>Mappings Preisliste in intrasell zu Magento Kundengruppe</w:t>
            </w:r>
          </w:p>
        </w:tc>
      </w:tr>
    </w:tbl>
    <w:p w:rsidR="000B3347" w:rsidRDefault="000B3347" w:rsidP="009D3069"/>
    <w:p w:rsidR="000B3347" w:rsidRDefault="000B3347">
      <w:r>
        <w:br w:type="page"/>
      </w:r>
    </w:p>
    <w:p w:rsidR="009D3069" w:rsidRDefault="000B3347" w:rsidP="00293A90">
      <w:pPr>
        <w:pStyle w:val="Heading2"/>
      </w:pPr>
      <w:r>
        <w:lastRenderedPageBreak/>
        <w:t xml:space="preserve">Testfälle </w:t>
      </w:r>
    </w:p>
    <w:p w:rsidR="000B3347" w:rsidRDefault="000B3347" w:rsidP="009D3069"/>
    <w:tbl>
      <w:tblPr>
        <w:tblStyle w:val="TableGrid"/>
        <w:tblW w:w="0" w:type="auto"/>
        <w:tblLook w:val="04A0"/>
      </w:tblPr>
      <w:tblGrid>
        <w:gridCol w:w="2303"/>
        <w:gridCol w:w="3475"/>
        <w:gridCol w:w="1843"/>
        <w:gridCol w:w="1659"/>
      </w:tblGrid>
      <w:tr w:rsidR="00293A90" w:rsidTr="00293A90">
        <w:tc>
          <w:tcPr>
            <w:tcW w:w="2303" w:type="dxa"/>
          </w:tcPr>
          <w:p w:rsidR="00293A90" w:rsidRDefault="00293A90" w:rsidP="009D3069">
            <w:r>
              <w:t>Beschreibung</w:t>
            </w:r>
          </w:p>
        </w:tc>
        <w:tc>
          <w:tcPr>
            <w:tcW w:w="3475" w:type="dxa"/>
          </w:tcPr>
          <w:p w:rsidR="00293A90" w:rsidRDefault="00293A90" w:rsidP="009D3069">
            <w:r>
              <w:t>Aktionen</w:t>
            </w:r>
          </w:p>
        </w:tc>
        <w:tc>
          <w:tcPr>
            <w:tcW w:w="1843" w:type="dxa"/>
          </w:tcPr>
          <w:p w:rsidR="00293A90" w:rsidRDefault="00293A90" w:rsidP="009D3069">
            <w:r>
              <w:t>Erwartetes Ergebnis</w:t>
            </w:r>
          </w:p>
        </w:tc>
        <w:tc>
          <w:tcPr>
            <w:tcW w:w="1659" w:type="dxa"/>
          </w:tcPr>
          <w:p w:rsidR="00293A90" w:rsidRDefault="00293A90" w:rsidP="009D3069">
            <w:r>
              <w:t>Status OK/NOK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Default="00293A90" w:rsidP="009D3069">
            <w:r>
              <w:t>Adresse von IntraSell exportieren und Passwort in Magento setze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>
              <w:t xml:space="preserve">Eine neue Adresse exportieren 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293A90">
              <w:t>Pwd in magento admin ändern</w:t>
            </w:r>
          </w:p>
          <w:p w:rsidR="00293A90" w:rsidRPr="00293A90" w:rsidRDefault="00293A90" w:rsidP="00293A90"/>
          <w:p w:rsidR="00293A90" w:rsidRPr="00293A90" w:rsidRDefault="00293A90" w:rsidP="00293A90"/>
        </w:tc>
        <w:tc>
          <w:tcPr>
            <w:tcW w:w="1843" w:type="dxa"/>
          </w:tcPr>
          <w:p w:rsidR="00293A90" w:rsidRPr="00293A90" w:rsidRDefault="00293A90" w:rsidP="009D3069">
            <w:r w:rsidRPr="00293A90">
              <w:t>Der user kann sich a</w:t>
            </w:r>
            <w:r>
              <w:t>nmelden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importieren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anlegen</w:t>
            </w:r>
          </w:p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Uhrzeitim SS programm einstellen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Importieren der order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Die order wird in IS sichtbar</w:t>
            </w:r>
          </w:p>
        </w:tc>
        <w:tc>
          <w:tcPr>
            <w:tcW w:w="1659" w:type="dxa"/>
          </w:tcPr>
          <w:p w:rsidR="00293A90" w:rsidRDefault="00685B72" w:rsidP="00D62CE7">
            <w:r>
              <w:t>Uhrzeit wird</w:t>
            </w:r>
            <w:r w:rsidR="00D62CE7">
              <w:t xml:space="preserve"> </w:t>
            </w:r>
            <w:r>
              <w:t xml:space="preserve">berücksichtigt, </w:t>
            </w:r>
            <w:r w:rsidR="00D62CE7">
              <w:t xml:space="preserve">aber mit 2 stunden differenz. </w:t>
            </w:r>
          </w:p>
          <w:p w:rsidR="00D62CE7" w:rsidRPr="00293A90" w:rsidRDefault="00D62CE7" w:rsidP="00D62CE7">
            <w:r>
              <w:t>Ggf.  Zeitzone senden.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liefert fehler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produziert fehler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Die nächste order wird korrekt importiert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Alle orders ausser die mit dem Fehler werden korrekt importiert.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</w:tbl>
    <w:p w:rsidR="00293A90" w:rsidRPr="00293A90" w:rsidRDefault="00293A90" w:rsidP="009D3069"/>
    <w:sectPr w:rsidR="00293A90" w:rsidRPr="00293A90" w:rsidSect="00412EB5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E3F" w:rsidRDefault="006C4E3F" w:rsidP="00900D88">
      <w:pPr>
        <w:spacing w:after="0" w:line="240" w:lineRule="auto"/>
      </w:pPr>
      <w:r>
        <w:separator/>
      </w:r>
    </w:p>
  </w:endnote>
  <w:endnote w:type="continuationSeparator" w:id="0">
    <w:p w:rsidR="006C4E3F" w:rsidRDefault="006C4E3F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85B72" w:rsidRDefault="00CF170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C43E3">
            <w:rPr>
              <w:noProof/>
            </w:rPr>
            <w:t>10</w:t>
          </w:r>
        </w:fldSimple>
        <w:r w:rsidR="00685B72">
          <w:t xml:space="preserve"> | </w:t>
        </w:r>
        <w:r w:rsidR="00685B72">
          <w:rPr>
            <w:color w:val="7F7F7F" w:themeColor="background1" w:themeShade="7F"/>
            <w:spacing w:val="60"/>
          </w:rPr>
          <w:t>Page</w:t>
        </w:r>
      </w:p>
    </w:sdtContent>
  </w:sdt>
  <w:p w:rsidR="00685B72" w:rsidRDefault="00685B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E3F" w:rsidRDefault="006C4E3F" w:rsidP="00900D88">
      <w:pPr>
        <w:spacing w:after="0" w:line="240" w:lineRule="auto"/>
      </w:pPr>
      <w:r>
        <w:separator/>
      </w:r>
    </w:p>
  </w:footnote>
  <w:footnote w:type="continuationSeparator" w:id="0">
    <w:p w:rsidR="006C4E3F" w:rsidRDefault="006C4E3F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0055E"/>
    <w:rsid w:val="000450A3"/>
    <w:rsid w:val="00063384"/>
    <w:rsid w:val="00096B06"/>
    <w:rsid w:val="000A356B"/>
    <w:rsid w:val="000B3347"/>
    <w:rsid w:val="000E38FD"/>
    <w:rsid w:val="001014B9"/>
    <w:rsid w:val="00121726"/>
    <w:rsid w:val="001400DF"/>
    <w:rsid w:val="001435F7"/>
    <w:rsid w:val="001B73AC"/>
    <w:rsid w:val="002618B6"/>
    <w:rsid w:val="00283C8F"/>
    <w:rsid w:val="00283EFC"/>
    <w:rsid w:val="00284ACF"/>
    <w:rsid w:val="002873C0"/>
    <w:rsid w:val="0029013B"/>
    <w:rsid w:val="00291C64"/>
    <w:rsid w:val="00293A90"/>
    <w:rsid w:val="002C43E3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403F4B"/>
    <w:rsid w:val="00406332"/>
    <w:rsid w:val="00412EB5"/>
    <w:rsid w:val="00414064"/>
    <w:rsid w:val="004214E5"/>
    <w:rsid w:val="00466F0E"/>
    <w:rsid w:val="0047226D"/>
    <w:rsid w:val="004761CD"/>
    <w:rsid w:val="00485F1D"/>
    <w:rsid w:val="004D2770"/>
    <w:rsid w:val="004E489C"/>
    <w:rsid w:val="00511DDA"/>
    <w:rsid w:val="00524D5E"/>
    <w:rsid w:val="00527A36"/>
    <w:rsid w:val="00546778"/>
    <w:rsid w:val="00553DD4"/>
    <w:rsid w:val="00557596"/>
    <w:rsid w:val="00557C01"/>
    <w:rsid w:val="00631342"/>
    <w:rsid w:val="006502CD"/>
    <w:rsid w:val="00653124"/>
    <w:rsid w:val="0068262B"/>
    <w:rsid w:val="00685B72"/>
    <w:rsid w:val="00691247"/>
    <w:rsid w:val="006951D1"/>
    <w:rsid w:val="006C4E3F"/>
    <w:rsid w:val="0071347E"/>
    <w:rsid w:val="00740F0D"/>
    <w:rsid w:val="007811F3"/>
    <w:rsid w:val="007A63AA"/>
    <w:rsid w:val="007F2518"/>
    <w:rsid w:val="007F323A"/>
    <w:rsid w:val="00823200"/>
    <w:rsid w:val="00826D21"/>
    <w:rsid w:val="008308D4"/>
    <w:rsid w:val="00856DF7"/>
    <w:rsid w:val="008752AB"/>
    <w:rsid w:val="008A0567"/>
    <w:rsid w:val="00900D88"/>
    <w:rsid w:val="00916B2F"/>
    <w:rsid w:val="009311E9"/>
    <w:rsid w:val="00945267"/>
    <w:rsid w:val="00955E38"/>
    <w:rsid w:val="00964120"/>
    <w:rsid w:val="009A23C7"/>
    <w:rsid w:val="009A7355"/>
    <w:rsid w:val="009D3069"/>
    <w:rsid w:val="00A251F8"/>
    <w:rsid w:val="00A5297A"/>
    <w:rsid w:val="00A62393"/>
    <w:rsid w:val="00A6335D"/>
    <w:rsid w:val="00A82E2E"/>
    <w:rsid w:val="00AB296C"/>
    <w:rsid w:val="00AC0DD0"/>
    <w:rsid w:val="00AD0F89"/>
    <w:rsid w:val="00AD2E68"/>
    <w:rsid w:val="00AF0DCF"/>
    <w:rsid w:val="00AF5C70"/>
    <w:rsid w:val="00B210A9"/>
    <w:rsid w:val="00B67545"/>
    <w:rsid w:val="00BA5DEB"/>
    <w:rsid w:val="00BF2FF9"/>
    <w:rsid w:val="00C25579"/>
    <w:rsid w:val="00C31AEF"/>
    <w:rsid w:val="00C35342"/>
    <w:rsid w:val="00C512E2"/>
    <w:rsid w:val="00C55FA0"/>
    <w:rsid w:val="00C73B64"/>
    <w:rsid w:val="00C81D4A"/>
    <w:rsid w:val="00CB0B53"/>
    <w:rsid w:val="00CB3EEC"/>
    <w:rsid w:val="00CF1700"/>
    <w:rsid w:val="00D06625"/>
    <w:rsid w:val="00D108DC"/>
    <w:rsid w:val="00D163E5"/>
    <w:rsid w:val="00D4472C"/>
    <w:rsid w:val="00D448EA"/>
    <w:rsid w:val="00D4786A"/>
    <w:rsid w:val="00D62CE7"/>
    <w:rsid w:val="00D64B90"/>
    <w:rsid w:val="00E04291"/>
    <w:rsid w:val="00E0630E"/>
    <w:rsid w:val="00E22C1F"/>
    <w:rsid w:val="00E44415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66D54"/>
    <w:rsid w:val="00F75979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1549E-5BF1-45B3-9597-C1C60087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2292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96</cp:revision>
  <dcterms:created xsi:type="dcterms:W3CDTF">2014-09-01T12:22:00Z</dcterms:created>
  <dcterms:modified xsi:type="dcterms:W3CDTF">2014-11-22T12:21:00Z</dcterms:modified>
</cp:coreProperties>
</file>