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b3eb8984af79a8c6f07f373c0ebd29b9c6fea41"/>
    <w:p>
      <w:pPr>
        <w:pStyle w:val="Heading1"/>
      </w:pPr>
      <w:r>
        <w:t xml:space="preserve">S02 | Besprechungsnotiz Wissensportal Service</w:t>
      </w:r>
    </w:p>
    <w:p>
      <w:pPr>
        <w:pStyle w:val="FirstParagraph"/>
      </w:pPr>
      <w:r>
        <w:rPr>
          <w:i/>
          <w:iCs/>
        </w:rPr>
        <w:t xml:space="preserve">Fiktiver Schulungsfall, keine echte Geschäftsunterlage.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Datum</w:t>
            </w:r>
          </w:p>
        </w:tc>
        <w:tc>
          <w:tcPr/>
          <w:p>
            <w:pPr>
              <w:pStyle w:val="Compact"/>
            </w:pPr>
            <w:r>
              <w:t xml:space="preserve">21.10.2026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Protokoll, von den Teilnehmenden abgestimmt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Teilnehmende Rollen</w:t>
            </w:r>
          </w:p>
        </w:tc>
        <w:tc>
          <w:tcPr/>
          <w:p>
            <w:pPr>
              <w:pStyle w:val="Compact"/>
            </w:pPr>
            <w:r>
              <w:t xml:space="preserve">Serviceleitung, IT, Einkauf</w:t>
            </w:r>
          </w:p>
        </w:tc>
      </w:tr>
    </w:tbl>
    <w:bookmarkStart w:id="9" w:name="nutzerzahl"/>
    <w:p>
      <w:pPr>
        <w:pStyle w:val="Heading2"/>
      </w:pPr>
      <w:r>
        <w:t xml:space="preserve">Nutzerzahl</w:t>
      </w:r>
    </w:p>
    <w:p>
      <w:pPr>
        <w:pStyle w:val="FirstParagraph"/>
      </w:pPr>
      <w:r>
        <w:t xml:space="preserve">Die Serviceleitung hat festgelegt, dass zum Start 30 persönliche Konten benötigt werden, weil sechs Beschäftigte aus einem angrenzenden Team mitarbeiten. Der Einkauf plant die Beschaffung ab sofort mit 30 Konten.</w:t>
      </w:r>
    </w:p>
    <w:bookmarkEnd w:id="9"/>
    <w:bookmarkStart w:id="10" w:name="prioritäten"/>
    <w:p>
      <w:pPr>
        <w:pStyle w:val="Heading2"/>
      </w:pPr>
      <w:r>
        <w:t xml:space="preserve">Prioritäten</w:t>
      </w:r>
    </w:p>
    <w:p>
      <w:pPr>
        <w:pStyle w:val="FirstParagraph"/>
      </w:pPr>
      <w:r>
        <w:t xml:space="preserve">Die Trennung von Lese- und Redaktionsrechten sowie der vollständige Export bleiben Muss-Anforderungen. Die Schulung der beiden Redakteure soll im Preis enthalten sein. Eine deutschsprachige Administrationsoberfläche ist erwünscht, aber kein Ausschlusskriterium.</w:t>
      </w:r>
    </w:p>
    <w:bookmarkEnd w:id="10"/>
    <w:bookmarkStart w:id="11" w:name="termin"/>
    <w:p>
      <w:pPr>
        <w:pStyle w:val="Heading2"/>
      </w:pPr>
      <w:r>
        <w:t xml:space="preserve">Termin</w:t>
      </w:r>
    </w:p>
    <w:p>
      <w:pPr>
        <w:pStyle w:val="FirstParagraph"/>
      </w:pPr>
      <w:r>
        <w:t xml:space="preserve">In der Sitzung wurde weiterhin mit dem Pilotbeginn am 30.11.2026 geplant. Für eine Verschiebung wurde keine Entscheidung getroffen.</w:t>
      </w:r>
    </w:p>
    <w:bookmarkEnd w:id="11"/>
    <w:bookmarkStart w:id="12" w:name="prüfauftrag"/>
    <w:p>
      <w:pPr>
        <w:pStyle w:val="Heading2"/>
      </w:pPr>
      <w:r>
        <w:t xml:space="preserve">Prüfauftrag</w:t>
      </w:r>
    </w:p>
    <w:p>
      <w:pPr>
        <w:pStyle w:val="FirstParagraph"/>
      </w:pPr>
      <w:r>
        <w:t xml:space="preserve">Angebote anhand der gesamten Kosten für Einrichtung und zwölf Monate für 30 Konten vergleichen. Offene Export- oder Terminfragen ausdrücklich nennen. Es soll noch keine Bestellung ausgelöst werden.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2026-10-29T16:11:00Z</dcterms:created>
  <dcterms:modified xsi:type="dcterms:W3CDTF">2026-10-29T16:11:00Z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