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828DE9">
      <w:pPr>
        <w:pStyle w:val="9"/>
        <w:spacing w:before="0" w:after="0" w:line="360" w:lineRule="auto"/>
        <w:rPr>
          <w:rFonts w:hint="eastAsia"/>
          <w:szCs w:val="36"/>
        </w:rPr>
      </w:pPr>
      <w:bookmarkStart w:id="0" w:name="_GoBack"/>
      <w:bookmarkEnd w:id="0"/>
      <w:r>
        <w:rPr>
          <w:rFonts w:hint="eastAsia"/>
          <w:szCs w:val="36"/>
        </w:rPr>
        <w:t>中美AI人才竞争及应对策略</w:t>
      </w:r>
    </w:p>
    <w:p w14:paraId="798AF517">
      <w:pPr>
        <w:rPr>
          <w:sz w:val="24"/>
          <w:szCs w:val="28"/>
        </w:rPr>
      </w:pPr>
    </w:p>
    <w:p w14:paraId="62E95E34">
      <w:pPr>
        <w:spacing w:line="360" w:lineRule="auto"/>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2021年3月，美国人工智能国家安全委员会发布最终报告，以中国为“假想敌”进行人工智能人才竞争（全文提及“中国”达500多次），试图通过国防、外交、教育、科技、知识产权等手段，构筑一条针对中国的技术防线。目前，该报告提出的主要建议已经被采纳，在参议院近期高票通过的《2021美国创新与竞争法案》中得到了充分体现，人工智能人才竞争正在成为美国对华政策的重要考量。</w:t>
      </w:r>
    </w:p>
    <w:p w14:paraId="17C3B80E">
      <w:pPr>
        <w:spacing w:before="156" w:beforeLines="50" w:after="156" w:afterLines="50" w:line="360" w:lineRule="auto"/>
        <w:ind w:left="643"/>
        <w:rPr>
          <w:rFonts w:ascii="Times New Roman" w:hAnsi="Times New Roman" w:eastAsia="黑体" w:cs="Times New Roman"/>
          <w:bCs/>
          <w:sz w:val="36"/>
          <w:szCs w:val="32"/>
        </w:rPr>
      </w:pPr>
      <w:r>
        <w:rPr>
          <w:rFonts w:hint="eastAsia" w:ascii="Times New Roman" w:hAnsi="Times New Roman" w:eastAsia="黑体" w:cs="Times New Roman"/>
          <w:bCs/>
          <w:sz w:val="36"/>
          <w:szCs w:val="32"/>
        </w:rPr>
        <w:t>一、主要措施</w:t>
      </w:r>
    </w:p>
    <w:p w14:paraId="4A78BF63">
      <w:pPr>
        <w:spacing w:line="360" w:lineRule="auto"/>
        <w:ind w:firstLine="615"/>
        <w:rPr>
          <w:rFonts w:ascii="Times New Roman" w:hAnsi="Times New Roman" w:eastAsia="仿宋_GB2312"/>
          <w:sz w:val="32"/>
          <w:szCs w:val="32"/>
        </w:rPr>
      </w:pPr>
      <w:r>
        <w:rPr>
          <w:rFonts w:hint="eastAsia" w:ascii="Times New Roman" w:hAnsi="Times New Roman" w:eastAsia="仿宋_GB2312"/>
          <w:sz w:val="32"/>
          <w:szCs w:val="32"/>
        </w:rPr>
        <w:t>该报告包括两大部分：第一部分“在智能时代保卫美国”，重点</w:t>
      </w:r>
      <w:r>
        <w:rPr>
          <w:rFonts w:ascii="Times New Roman" w:hAnsi="Times New Roman" w:eastAsia="仿宋_GB2312"/>
          <w:sz w:val="32"/>
          <w:szCs w:val="32"/>
        </w:rPr>
        <w:t>是</w:t>
      </w:r>
      <w:r>
        <w:rPr>
          <w:rFonts w:hint="eastAsia" w:ascii="Times New Roman" w:hAnsi="Times New Roman" w:eastAsia="仿宋_GB2312"/>
          <w:sz w:val="32"/>
          <w:szCs w:val="32"/>
        </w:rPr>
        <w:t>利用人工智能技术加强国防建设；第二部分“赢得技术竞争”，重点以人才竞争为抓手确保美国在人工智能领域的领先优势。</w:t>
      </w:r>
      <w:r>
        <w:rPr>
          <w:rFonts w:ascii="Times New Roman" w:hAnsi="Times New Roman" w:eastAsia="仿宋_GB2312"/>
          <w:sz w:val="32"/>
          <w:szCs w:val="32"/>
        </w:rPr>
        <w:t>这</w:t>
      </w:r>
      <w:r>
        <w:rPr>
          <w:rFonts w:hint="eastAsia" w:ascii="Times New Roman" w:hAnsi="Times New Roman" w:eastAsia="仿宋_GB2312"/>
          <w:sz w:val="32"/>
          <w:szCs w:val="32"/>
        </w:rPr>
        <w:t>预示着中美竞争正在从“贸易战”走向“科技战”，并加速向“人才战”蔓延。具体内容包括：</w:t>
      </w:r>
    </w:p>
    <w:p w14:paraId="15530BB0">
      <w:pPr>
        <w:spacing w:line="360" w:lineRule="auto"/>
        <w:ind w:firstLine="615"/>
        <w:rPr>
          <w:rFonts w:hint="eastAsia" w:ascii="楷体" w:hAnsi="楷体" w:eastAsia="楷体" w:cs="楷体_GB2312"/>
          <w:b/>
          <w:bCs/>
          <w:sz w:val="32"/>
          <w:szCs w:val="32"/>
        </w:rPr>
      </w:pPr>
      <w:r>
        <w:rPr>
          <w:rFonts w:hint="eastAsia" w:ascii="楷体" w:hAnsi="楷体" w:eastAsia="楷体" w:cs="楷体_GB2312"/>
          <w:b/>
          <w:bCs/>
          <w:sz w:val="32"/>
          <w:szCs w:val="32"/>
        </w:rPr>
        <w:t>（一）通过大中小学贯通培养人工智能专门人才</w:t>
      </w:r>
    </w:p>
    <w:p w14:paraId="2DF426CC">
      <w:pPr>
        <w:spacing w:line="360" w:lineRule="auto"/>
        <w:ind w:firstLine="615"/>
        <w:rPr>
          <w:rFonts w:hint="eastAsia" w:ascii="仿宋_GB2312" w:hAnsi="仿宋_GB2312" w:eastAsia="仿宋_GB2312" w:cs="仿宋_GB2312"/>
          <w:sz w:val="32"/>
          <w:szCs w:val="32"/>
        </w:rPr>
      </w:pPr>
      <w:r>
        <w:rPr>
          <w:rFonts w:hint="eastAsia" w:ascii="仿宋" w:hAnsi="仿宋" w:eastAsia="仿宋" w:cs="仿宋_GB2312"/>
          <w:b/>
          <w:bCs/>
          <w:sz w:val="32"/>
          <w:szCs w:val="32"/>
        </w:rPr>
        <w:t>在基础教育领域，</w:t>
      </w:r>
      <w:r>
        <w:rPr>
          <w:rFonts w:hint="eastAsia" w:ascii="仿宋_GB2312" w:hAnsi="仿宋_GB2312" w:eastAsia="仿宋_GB2312" w:cs="仿宋_GB2312"/>
          <w:sz w:val="32"/>
          <w:szCs w:val="32"/>
        </w:rPr>
        <w:t>建议联邦政府大幅增加中小学STEM教育投入，将计算机科学和统计学列为中学必修课，在学生测试中增加计算思维和统计知识的考察，培养学生数字技能。积极开展STEM教育和人工智能的课余学习计划，为学生提供低结构化的学习环境。设立STEM教师专项经费。</w:t>
      </w:r>
    </w:p>
    <w:p w14:paraId="0A811B02">
      <w:pPr>
        <w:spacing w:line="360" w:lineRule="auto"/>
        <w:ind w:firstLine="615"/>
        <w:rPr>
          <w:rFonts w:hint="eastAsia" w:ascii="仿宋_GB2312" w:hAnsi="仿宋_GB2312" w:eastAsia="仿宋_GB2312" w:cs="仿宋_GB2312"/>
          <w:sz w:val="32"/>
          <w:szCs w:val="32"/>
        </w:rPr>
      </w:pPr>
      <w:r>
        <w:rPr>
          <w:rFonts w:hint="eastAsia" w:ascii="仿宋" w:hAnsi="仿宋" w:eastAsia="仿宋" w:cs="仿宋_GB2312"/>
          <w:b/>
          <w:bCs/>
          <w:sz w:val="32"/>
          <w:szCs w:val="32"/>
        </w:rPr>
        <w:t>在高等教育领域，</w:t>
      </w:r>
      <w:r>
        <w:rPr>
          <w:rFonts w:hint="eastAsia" w:ascii="仿宋_GB2312" w:hAnsi="仿宋_GB2312" w:eastAsia="仿宋_GB2312" w:cs="仿宋_GB2312"/>
          <w:sz w:val="32"/>
          <w:szCs w:val="32"/>
        </w:rPr>
        <w:t>建议由国家科学基金会增设STEM奖学金和研究基金，五年内设立25000个STEM本科生奖学金，5000个STEM博士研究基金和500个博士后职位。在高校广泛开设人工智能专业，扩大STEM和人工智能人才规模。建立一个民用国家储备数字部队，在大二和大三、大三和大四之间，学生分别有6周时间在政府机构实习，获得奖学金的毕业生将在民用国家储备数字部队工作五年。</w:t>
      </w:r>
    </w:p>
    <w:p w14:paraId="15F5C65D">
      <w:pPr>
        <w:spacing w:line="360" w:lineRule="auto"/>
        <w:ind w:firstLine="615"/>
        <w:rPr>
          <w:rFonts w:hint="eastAsia" w:ascii="仿宋_GB2312" w:hAnsi="仿宋_GB2312" w:eastAsia="仿宋_GB2312" w:cs="仿宋_GB2312"/>
          <w:sz w:val="32"/>
          <w:szCs w:val="32"/>
        </w:rPr>
      </w:pPr>
      <w:r>
        <w:rPr>
          <w:rFonts w:hint="eastAsia" w:ascii="仿宋" w:hAnsi="仿宋" w:eastAsia="仿宋" w:cs="仿宋_GB2312"/>
          <w:b/>
          <w:bCs/>
          <w:sz w:val="32"/>
          <w:szCs w:val="32"/>
        </w:rPr>
        <w:t>在职业教育领域，</w:t>
      </w:r>
      <w:r>
        <w:rPr>
          <w:rFonts w:hint="eastAsia" w:ascii="仿宋_GB2312" w:hAnsi="仿宋_GB2312" w:eastAsia="仿宋_GB2312" w:cs="仿宋_GB2312"/>
          <w:sz w:val="32"/>
          <w:szCs w:val="32"/>
        </w:rPr>
        <w:t>建议创建美国数字服务学院，帮助未来的政府工作人员掌握数字技术。该学院是接受政府资助的可授予学位的独立实体大学，学生不交学费和食宿费，毕业后有义务到政府机构服务。招募具有良好数字技能的人员进入政府机构，促进技术人才在政府、军事、科研、企业等不同领域流动。</w:t>
      </w:r>
    </w:p>
    <w:p w14:paraId="10C79ED3">
      <w:pPr>
        <w:spacing w:line="360" w:lineRule="auto"/>
        <w:ind w:firstLine="615"/>
        <w:rPr>
          <w:rFonts w:hint="eastAsia" w:ascii="楷体" w:hAnsi="楷体" w:eastAsia="楷体" w:cs="楷体_GB2312"/>
          <w:b/>
          <w:bCs/>
          <w:sz w:val="32"/>
          <w:szCs w:val="32"/>
        </w:rPr>
      </w:pPr>
      <w:r>
        <w:rPr>
          <w:rFonts w:hint="eastAsia" w:ascii="楷体" w:hAnsi="楷体" w:eastAsia="楷体" w:cs="楷体_GB2312"/>
          <w:b/>
          <w:bCs/>
          <w:sz w:val="32"/>
          <w:szCs w:val="32"/>
        </w:rPr>
        <w:t>（二）通过调整移民战略抢夺全球一流科技人才</w:t>
      </w:r>
    </w:p>
    <w:p w14:paraId="5524D19A">
      <w:pPr>
        <w:spacing w:line="360" w:lineRule="auto"/>
        <w:ind w:firstLine="643" w:firstLineChars="200"/>
        <w:rPr>
          <w:rFonts w:ascii="Times New Roman" w:hAnsi="Times New Roman" w:eastAsia="仿宋_GB2312"/>
          <w:sz w:val="32"/>
          <w:szCs w:val="32"/>
        </w:rPr>
      </w:pPr>
      <w:r>
        <w:rPr>
          <w:rFonts w:hint="eastAsia" w:ascii="仿宋" w:hAnsi="仿宋" w:eastAsia="仿宋" w:cs="仿宋_GB2312"/>
          <w:b/>
          <w:bCs/>
          <w:sz w:val="32"/>
          <w:szCs w:val="32"/>
        </w:rPr>
        <w:t>制定国家安全移民法案，</w:t>
      </w:r>
      <w:r>
        <w:rPr>
          <w:rFonts w:hint="eastAsia" w:ascii="Times New Roman" w:hAnsi="Times New Roman" w:eastAsia="仿宋_GB2312"/>
          <w:sz w:val="32"/>
          <w:szCs w:val="32"/>
        </w:rPr>
        <w:t>建议向所有通过认证的STEM博士毕业生直接发放绿卡。重点面向STEM和</w:t>
      </w:r>
      <w:r>
        <w:rPr>
          <w:rFonts w:ascii="Times New Roman" w:hAnsi="Times New Roman" w:eastAsia="仿宋_GB2312"/>
          <w:sz w:val="32"/>
          <w:szCs w:val="32"/>
        </w:rPr>
        <w:t>人工智能人才，</w:t>
      </w:r>
      <w:r>
        <w:rPr>
          <w:rFonts w:hint="eastAsia" w:ascii="Times New Roman" w:hAnsi="Times New Roman" w:eastAsia="仿宋_GB2312"/>
          <w:sz w:val="32"/>
          <w:szCs w:val="32"/>
        </w:rPr>
        <w:t>将就业绿卡数量翻一番。为吸引关键领域的顶尖技术人才，增设一个“新兴与</w:t>
      </w:r>
      <w:r>
        <w:rPr>
          <w:rFonts w:ascii="Times New Roman" w:hAnsi="Times New Roman" w:eastAsia="仿宋_GB2312"/>
          <w:sz w:val="32"/>
          <w:szCs w:val="32"/>
        </w:rPr>
        <w:t>颠覆性</w:t>
      </w:r>
      <w:r>
        <w:rPr>
          <w:rFonts w:hint="eastAsia" w:ascii="Times New Roman" w:hAnsi="Times New Roman" w:eastAsia="仿宋_GB2312"/>
          <w:sz w:val="32"/>
          <w:szCs w:val="32"/>
        </w:rPr>
        <w:t>技术签证”。创建</w:t>
      </w:r>
      <w:r>
        <w:rPr>
          <w:rFonts w:ascii="Times New Roman" w:hAnsi="Times New Roman" w:eastAsia="仿宋_GB2312"/>
          <w:sz w:val="32"/>
          <w:szCs w:val="32"/>
        </w:rPr>
        <w:t>企业家签证，</w:t>
      </w:r>
      <w:r>
        <w:rPr>
          <w:rFonts w:hint="eastAsia" w:ascii="Times New Roman" w:hAnsi="Times New Roman" w:eastAsia="仿宋_GB2312"/>
          <w:sz w:val="32"/>
          <w:szCs w:val="32"/>
        </w:rPr>
        <w:t>优先考虑从事人工</w:t>
      </w:r>
      <w:r>
        <w:rPr>
          <w:rFonts w:ascii="Times New Roman" w:hAnsi="Times New Roman" w:eastAsia="仿宋_GB2312"/>
          <w:sz w:val="32"/>
          <w:szCs w:val="32"/>
        </w:rPr>
        <w:t>智能</w:t>
      </w:r>
      <w:r>
        <w:rPr>
          <w:rFonts w:hint="eastAsia" w:ascii="Times New Roman" w:hAnsi="Times New Roman" w:eastAsia="仿宋_GB2312"/>
          <w:sz w:val="32"/>
          <w:szCs w:val="32"/>
        </w:rPr>
        <w:t>研发</w:t>
      </w:r>
      <w:r>
        <w:rPr>
          <w:rFonts w:ascii="Times New Roman" w:hAnsi="Times New Roman" w:eastAsia="仿宋_GB2312"/>
          <w:sz w:val="32"/>
          <w:szCs w:val="32"/>
        </w:rPr>
        <w:t>及其相关</w:t>
      </w:r>
      <w:r>
        <w:rPr>
          <w:rFonts w:hint="eastAsia" w:ascii="Times New Roman" w:hAnsi="Times New Roman" w:eastAsia="仿宋_GB2312"/>
          <w:sz w:val="32"/>
          <w:szCs w:val="32"/>
        </w:rPr>
        <w:t>应用的企业家。扩大“非凡”人才标准，放宽O</w:t>
      </w:r>
      <w:r>
        <w:rPr>
          <w:rFonts w:ascii="Times New Roman" w:hAnsi="Times New Roman" w:eastAsia="仿宋_GB2312"/>
          <w:sz w:val="32"/>
          <w:szCs w:val="32"/>
        </w:rPr>
        <w:t>-</w:t>
      </w:r>
      <w:r>
        <w:rPr>
          <w:rFonts w:hint="eastAsia" w:ascii="Times New Roman" w:hAnsi="Times New Roman" w:eastAsia="仿宋_GB2312"/>
          <w:sz w:val="32"/>
          <w:szCs w:val="32"/>
        </w:rPr>
        <w:t>1签证条件，并强调人工智能人才。</w:t>
      </w:r>
    </w:p>
    <w:p w14:paraId="0089EFB2">
      <w:pPr>
        <w:spacing w:line="360" w:lineRule="auto"/>
        <w:ind w:firstLine="643" w:firstLineChars="200"/>
        <w:rPr>
          <w:rFonts w:ascii="Times New Roman" w:hAnsi="Times New Roman" w:eastAsia="仿宋_GB2312"/>
          <w:sz w:val="32"/>
          <w:szCs w:val="32"/>
        </w:rPr>
      </w:pPr>
      <w:r>
        <w:rPr>
          <w:rFonts w:hint="eastAsia" w:ascii="仿宋" w:hAnsi="仿宋" w:eastAsia="仿宋" w:cs="仿宋_GB2312"/>
          <w:b/>
          <w:bCs/>
          <w:sz w:val="32"/>
          <w:szCs w:val="32"/>
        </w:rPr>
        <w:t>启动反海外人才招聘计划，</w:t>
      </w:r>
      <w:r>
        <w:rPr>
          <w:rFonts w:hint="eastAsia" w:ascii="Times New Roman" w:hAnsi="Times New Roman" w:eastAsia="仿宋_GB2312"/>
          <w:sz w:val="32"/>
          <w:szCs w:val="32"/>
        </w:rPr>
        <w:t>建议</w:t>
      </w:r>
      <w:r>
        <w:rPr>
          <w:rFonts w:ascii="Times New Roman" w:hAnsi="Times New Roman" w:eastAsia="仿宋_GB2312"/>
          <w:sz w:val="32"/>
          <w:szCs w:val="32"/>
        </w:rPr>
        <w:t>以中国人才</w:t>
      </w:r>
      <w:r>
        <w:rPr>
          <w:rFonts w:hint="eastAsia" w:ascii="Times New Roman" w:hAnsi="Times New Roman" w:eastAsia="仿宋_GB2312"/>
          <w:sz w:val="32"/>
          <w:szCs w:val="32"/>
        </w:rPr>
        <w:t>招聘计划为</w:t>
      </w:r>
      <w:r>
        <w:rPr>
          <w:rFonts w:ascii="Times New Roman" w:hAnsi="Times New Roman" w:eastAsia="仿宋_GB2312"/>
          <w:sz w:val="32"/>
          <w:szCs w:val="32"/>
        </w:rPr>
        <w:t>重点</w:t>
      </w:r>
      <w:r>
        <w:rPr>
          <w:rFonts w:hint="eastAsia" w:ascii="Times New Roman" w:hAnsi="Times New Roman" w:eastAsia="仿宋_GB2312"/>
          <w:sz w:val="32"/>
          <w:szCs w:val="32"/>
        </w:rPr>
        <w:t>，实施特别审查程序，防止有军事与安全背景的研究人员入境。修订《外国代理人登记法》，要求参与国外人才计划招募美国公民的任何个人或实体，作为外国代理人必须到美国司法部登记，并定期公布在美国的所有活动情况。</w:t>
      </w:r>
    </w:p>
    <w:p w14:paraId="46BD1E9C">
      <w:pPr>
        <w:spacing w:line="360" w:lineRule="auto"/>
        <w:ind w:firstLine="615"/>
        <w:rPr>
          <w:rFonts w:hint="eastAsia" w:ascii="楷体" w:hAnsi="楷体" w:eastAsia="楷体" w:cs="楷体_GB2312"/>
          <w:b/>
          <w:bCs/>
          <w:sz w:val="32"/>
          <w:szCs w:val="32"/>
        </w:rPr>
      </w:pPr>
      <w:r>
        <w:rPr>
          <w:rFonts w:hint="eastAsia" w:ascii="楷体" w:hAnsi="楷体" w:eastAsia="楷体" w:cs="楷体_GB2312"/>
          <w:b/>
          <w:bCs/>
          <w:sz w:val="32"/>
          <w:szCs w:val="32"/>
        </w:rPr>
        <w:t>（三）通过知识链产业链协同维护</w:t>
      </w:r>
      <w:r>
        <w:rPr>
          <w:rFonts w:ascii="楷体" w:hAnsi="楷体" w:eastAsia="楷体" w:cs="楷体_GB2312"/>
          <w:b/>
          <w:bCs/>
          <w:sz w:val="32"/>
          <w:szCs w:val="32"/>
        </w:rPr>
        <w:t>技术</w:t>
      </w:r>
      <w:r>
        <w:rPr>
          <w:rFonts w:hint="eastAsia" w:ascii="楷体" w:hAnsi="楷体" w:eastAsia="楷体" w:cs="楷体_GB2312"/>
          <w:b/>
          <w:bCs/>
          <w:sz w:val="32"/>
          <w:szCs w:val="32"/>
        </w:rPr>
        <w:t>领先优势</w:t>
      </w:r>
    </w:p>
    <w:p w14:paraId="604C212F">
      <w:pPr>
        <w:spacing w:line="360" w:lineRule="auto"/>
        <w:ind w:firstLine="615"/>
        <w:rPr>
          <w:rFonts w:ascii="Times New Roman" w:hAnsi="Times New Roman" w:eastAsia="仿宋_GB2312"/>
          <w:sz w:val="32"/>
          <w:szCs w:val="32"/>
        </w:rPr>
      </w:pPr>
      <w:r>
        <w:rPr>
          <w:rFonts w:hint="eastAsia" w:ascii="仿宋" w:hAnsi="仿宋" w:eastAsia="仿宋" w:cs="仿宋_GB2312"/>
          <w:b/>
          <w:bCs/>
          <w:sz w:val="32"/>
          <w:szCs w:val="32"/>
        </w:rPr>
        <w:t>在顶层设计上，</w:t>
      </w:r>
      <w:r>
        <w:rPr>
          <w:rFonts w:hint="eastAsia" w:ascii="Times New Roman" w:hAnsi="Times New Roman" w:eastAsia="仿宋_GB2312"/>
          <w:sz w:val="32"/>
          <w:szCs w:val="32"/>
        </w:rPr>
        <w:t>建议成立由副总统直接领导的技术竞争力委员会，联合盟友建立新兴技术联盟，发起国际数字民主倡议，制定相关技术的国际标准，加强关键</w:t>
      </w:r>
      <w:r>
        <w:rPr>
          <w:rFonts w:ascii="Times New Roman" w:hAnsi="Times New Roman" w:eastAsia="仿宋_GB2312"/>
          <w:sz w:val="32"/>
          <w:szCs w:val="32"/>
        </w:rPr>
        <w:t>技术</w:t>
      </w:r>
      <w:r>
        <w:rPr>
          <w:rFonts w:hint="eastAsia" w:ascii="Times New Roman" w:hAnsi="Times New Roman" w:eastAsia="仿宋_GB2312"/>
          <w:sz w:val="32"/>
          <w:szCs w:val="32"/>
        </w:rPr>
        <w:t>出口</w:t>
      </w:r>
      <w:r>
        <w:rPr>
          <w:rFonts w:ascii="Times New Roman" w:hAnsi="Times New Roman" w:eastAsia="仿宋_GB2312"/>
          <w:sz w:val="32"/>
          <w:szCs w:val="32"/>
        </w:rPr>
        <w:t>管制，</w:t>
      </w:r>
      <w:r>
        <w:rPr>
          <w:rFonts w:hint="eastAsia" w:ascii="Times New Roman" w:hAnsi="Times New Roman" w:eastAsia="仿宋_GB2312"/>
          <w:sz w:val="32"/>
          <w:szCs w:val="32"/>
        </w:rPr>
        <w:t>推行以美国为主导的国际科技战略。</w:t>
      </w:r>
    </w:p>
    <w:p w14:paraId="63A1FD8F">
      <w:pPr>
        <w:spacing w:line="360" w:lineRule="auto"/>
        <w:ind w:firstLine="615"/>
        <w:rPr>
          <w:rFonts w:ascii="Times New Roman" w:hAnsi="Times New Roman" w:eastAsia="仿宋_GB2312"/>
          <w:sz w:val="32"/>
          <w:szCs w:val="32"/>
        </w:rPr>
      </w:pPr>
      <w:r>
        <w:rPr>
          <w:rFonts w:hint="eastAsia" w:ascii="仿宋" w:hAnsi="仿宋" w:eastAsia="仿宋" w:cs="仿宋_GB2312"/>
          <w:b/>
          <w:bCs/>
          <w:sz w:val="32"/>
          <w:szCs w:val="32"/>
        </w:rPr>
        <w:t>在知识产权上，</w:t>
      </w:r>
      <w:r>
        <w:rPr>
          <w:rFonts w:ascii="Times New Roman" w:hAnsi="Times New Roman" w:eastAsia="仿宋_GB2312"/>
          <w:sz w:val="32"/>
          <w:szCs w:val="32"/>
        </w:rPr>
        <w:t>建议改革</w:t>
      </w:r>
      <w:r>
        <w:rPr>
          <w:rFonts w:hint="eastAsia" w:ascii="Times New Roman" w:hAnsi="Times New Roman" w:eastAsia="仿宋_GB2312"/>
          <w:sz w:val="32"/>
          <w:szCs w:val="32"/>
        </w:rPr>
        <w:t>知识产权制度，以激励、扩大和保护人工智能和新兴技术创新。评估和</w:t>
      </w:r>
      <w:r>
        <w:rPr>
          <w:rFonts w:ascii="Times New Roman" w:hAnsi="Times New Roman" w:eastAsia="仿宋_GB2312"/>
          <w:sz w:val="32"/>
          <w:szCs w:val="32"/>
        </w:rPr>
        <w:t>审查</w:t>
      </w:r>
      <w:r>
        <w:rPr>
          <w:rFonts w:hint="eastAsia" w:ascii="Times New Roman" w:hAnsi="Times New Roman" w:eastAsia="仿宋_GB2312"/>
          <w:sz w:val="32"/>
          <w:szCs w:val="32"/>
        </w:rPr>
        <w:t>“知识产权考虑清单”，包括</w:t>
      </w:r>
      <w:r>
        <w:rPr>
          <w:rFonts w:ascii="Times New Roman" w:hAnsi="Times New Roman" w:eastAsia="仿宋_GB2312"/>
          <w:sz w:val="32"/>
          <w:szCs w:val="32"/>
        </w:rPr>
        <w:t>专利资格、</w:t>
      </w:r>
      <w:r>
        <w:rPr>
          <w:rFonts w:hint="eastAsia" w:ascii="Times New Roman" w:hAnsi="Times New Roman" w:eastAsia="仿宋_GB2312"/>
          <w:sz w:val="32"/>
          <w:szCs w:val="32"/>
        </w:rPr>
        <w:t>中国专利申请相关</w:t>
      </w:r>
      <w:r>
        <w:rPr>
          <w:rFonts w:ascii="Times New Roman" w:hAnsi="Times New Roman" w:eastAsia="仿宋_GB2312"/>
          <w:sz w:val="32"/>
          <w:szCs w:val="32"/>
        </w:rPr>
        <w:t>影响、</w:t>
      </w:r>
      <w:r>
        <w:rPr>
          <w:rFonts w:hint="eastAsia" w:ascii="Times New Roman" w:hAnsi="Times New Roman" w:eastAsia="仿宋_GB2312"/>
          <w:sz w:val="32"/>
          <w:szCs w:val="32"/>
        </w:rPr>
        <w:t>数据产权保护、打击知识产权盗窃、全球知识产权协调等</w:t>
      </w:r>
      <w:r>
        <w:rPr>
          <w:rFonts w:ascii="Times New Roman" w:hAnsi="Times New Roman" w:eastAsia="仿宋_GB2312"/>
          <w:sz w:val="32"/>
          <w:szCs w:val="32"/>
        </w:rPr>
        <w:t>。</w:t>
      </w:r>
    </w:p>
    <w:p w14:paraId="58894FF5">
      <w:pPr>
        <w:spacing w:line="360" w:lineRule="auto"/>
        <w:ind w:firstLine="615"/>
        <w:rPr>
          <w:rFonts w:ascii="Times New Roman" w:hAnsi="Times New Roman" w:eastAsia="仿宋_GB2312"/>
          <w:sz w:val="32"/>
          <w:szCs w:val="32"/>
        </w:rPr>
      </w:pPr>
      <w:r>
        <w:rPr>
          <w:rFonts w:hint="eastAsia" w:ascii="仿宋" w:hAnsi="仿宋" w:eastAsia="仿宋" w:cs="仿宋_GB2312"/>
          <w:b/>
          <w:bCs/>
          <w:sz w:val="32"/>
          <w:szCs w:val="32"/>
        </w:rPr>
        <w:t>在产业发展上，</w:t>
      </w:r>
      <w:r>
        <w:rPr>
          <w:rFonts w:hint="eastAsia" w:ascii="Times New Roman" w:hAnsi="Times New Roman" w:eastAsia="仿宋_GB2312"/>
          <w:sz w:val="32"/>
          <w:szCs w:val="32"/>
        </w:rPr>
        <w:t>建议扩大</w:t>
      </w:r>
      <w:r>
        <w:rPr>
          <w:rFonts w:ascii="Times New Roman" w:hAnsi="Times New Roman" w:eastAsia="仿宋_GB2312"/>
          <w:sz w:val="32"/>
          <w:szCs w:val="32"/>
        </w:rPr>
        <w:t>人工智能</w:t>
      </w:r>
      <w:r>
        <w:rPr>
          <w:rFonts w:hint="eastAsia" w:ascii="Times New Roman" w:hAnsi="Times New Roman" w:eastAsia="仿宋_GB2312"/>
          <w:sz w:val="32"/>
          <w:szCs w:val="32"/>
        </w:rPr>
        <w:t>研发</w:t>
      </w:r>
      <w:r>
        <w:rPr>
          <w:rFonts w:ascii="Times New Roman" w:hAnsi="Times New Roman" w:eastAsia="仿宋_GB2312"/>
          <w:sz w:val="32"/>
          <w:szCs w:val="32"/>
        </w:rPr>
        <w:t>经费</w:t>
      </w:r>
      <w:r>
        <w:rPr>
          <w:rFonts w:hint="eastAsia" w:ascii="Times New Roman" w:hAnsi="Times New Roman" w:eastAsia="仿宋_GB2312"/>
          <w:sz w:val="32"/>
          <w:szCs w:val="32"/>
        </w:rPr>
        <w:t>投入</w:t>
      </w:r>
      <w:r>
        <w:rPr>
          <w:rFonts w:ascii="Times New Roman" w:hAnsi="Times New Roman" w:eastAsia="仿宋_GB2312"/>
          <w:sz w:val="32"/>
          <w:szCs w:val="32"/>
        </w:rPr>
        <w:t>，</w:t>
      </w:r>
      <w:r>
        <w:rPr>
          <w:rFonts w:hint="eastAsia" w:ascii="Times New Roman" w:hAnsi="Times New Roman" w:eastAsia="仿宋_GB2312"/>
          <w:sz w:val="32"/>
          <w:szCs w:val="32"/>
        </w:rPr>
        <w:t>联邦政府将至少1%的GDP投入新兴技术研发，到2026年非国防人工智能研发资金达到320亿美元。实施国家微电子战略，为美国半导体制造业提供40%可退税的投资税收抵免。补贴半导体制造设施建设，加大微电子研发和基础设施投入。</w:t>
      </w:r>
    </w:p>
    <w:p w14:paraId="26CD5142">
      <w:pPr>
        <w:spacing w:before="156" w:beforeLines="50" w:after="156" w:afterLines="50" w:line="360" w:lineRule="auto"/>
        <w:ind w:left="643"/>
        <w:rPr>
          <w:rFonts w:ascii="Times New Roman" w:hAnsi="Times New Roman" w:eastAsia="黑体" w:cs="Times New Roman"/>
          <w:bCs/>
          <w:sz w:val="36"/>
          <w:szCs w:val="32"/>
        </w:rPr>
      </w:pPr>
      <w:r>
        <w:rPr>
          <w:rFonts w:hint="eastAsia" w:ascii="Times New Roman" w:hAnsi="Times New Roman" w:eastAsia="黑体" w:cs="Times New Roman"/>
          <w:bCs/>
          <w:sz w:val="36"/>
          <w:szCs w:val="32"/>
        </w:rPr>
        <w:t>二、教育改革关乎国家安全</w:t>
      </w:r>
    </w:p>
    <w:p w14:paraId="2DB30FFE">
      <w:pPr>
        <w:spacing w:line="360" w:lineRule="auto"/>
        <w:ind w:firstLine="615"/>
        <w:rPr>
          <w:rFonts w:ascii="Times New Roman" w:hAnsi="Times New Roman" w:eastAsia="仿宋_GB2312"/>
          <w:sz w:val="32"/>
          <w:szCs w:val="32"/>
        </w:rPr>
      </w:pPr>
      <w:r>
        <w:rPr>
          <w:rFonts w:hint="eastAsia" w:ascii="Times New Roman" w:hAnsi="Times New Roman" w:eastAsia="仿宋_GB2312"/>
          <w:sz w:val="32"/>
          <w:szCs w:val="32"/>
        </w:rPr>
        <w:t>该报告首次提出了《国防教育法案Ⅱ》的倡议，其思路与美国</w:t>
      </w:r>
      <w:r>
        <w:rPr>
          <w:rFonts w:ascii="Times New Roman" w:hAnsi="Times New Roman" w:eastAsia="仿宋_GB2312"/>
          <w:sz w:val="32"/>
          <w:szCs w:val="32"/>
        </w:rPr>
        <w:t>政府在冷战时期</w:t>
      </w:r>
      <w:r>
        <w:rPr>
          <w:rFonts w:hint="eastAsia" w:ascii="Times New Roman" w:hAnsi="Times New Roman" w:eastAsia="仿宋_GB2312"/>
          <w:sz w:val="32"/>
          <w:szCs w:val="32"/>
        </w:rPr>
        <w:t>出台的《国防教育法》一脉相承。当时，苏联率先将卫星送上太空给美国社会带来了巨大震动，再加上民众对教育质量的不满，美国政府紧急出台《国防教育法》，将教育提升到国家安全的战略高度，认为只有培养出一大批高水平人才，才能从根本上铸就强大国防力量。</w:t>
      </w:r>
    </w:p>
    <w:p w14:paraId="497953E5">
      <w:pPr>
        <w:spacing w:line="360" w:lineRule="auto"/>
        <w:ind w:firstLine="615"/>
        <w:rPr>
          <w:rFonts w:ascii="Times New Roman" w:hAnsi="Times New Roman" w:eastAsia="仿宋_GB2312"/>
          <w:sz w:val="32"/>
          <w:szCs w:val="32"/>
        </w:rPr>
      </w:pPr>
      <w:r>
        <w:rPr>
          <w:rFonts w:hint="eastAsia" w:ascii="Times New Roman" w:hAnsi="Times New Roman" w:eastAsia="仿宋_GB2312"/>
          <w:sz w:val="32"/>
          <w:szCs w:val="32"/>
        </w:rPr>
        <w:t>美国《国防教育法》共十条52款，主要包括：</w:t>
      </w:r>
      <w:r>
        <w:rPr>
          <w:rFonts w:hint="eastAsia" w:ascii="仿宋_GB2312" w:hAnsi="仿宋_GB2312" w:eastAsia="仿宋_GB2312" w:cs="仿宋_GB2312"/>
          <w:b/>
          <w:bCs/>
          <w:sz w:val="32"/>
          <w:szCs w:val="32"/>
        </w:rPr>
        <w:t>一是</w:t>
      </w:r>
      <w:r>
        <w:rPr>
          <w:rFonts w:hint="eastAsia" w:ascii="Times New Roman" w:hAnsi="Times New Roman" w:eastAsia="仿宋_GB2312"/>
          <w:sz w:val="32"/>
          <w:szCs w:val="32"/>
        </w:rPr>
        <w:t>大幅增加教育投入，强化美国联邦政府在教育中的作用，特别是高等教育经费增长速度前所未有，1960年联邦政府对高等教育的财政经费是1958年的十四倍。</w:t>
      </w:r>
      <w:r>
        <w:rPr>
          <w:rFonts w:hint="eastAsia" w:ascii="仿宋_GB2312" w:hAnsi="仿宋_GB2312" w:eastAsia="仿宋_GB2312" w:cs="仿宋_GB2312"/>
          <w:b/>
          <w:bCs/>
          <w:sz w:val="32"/>
          <w:szCs w:val="32"/>
        </w:rPr>
        <w:t>二是</w:t>
      </w:r>
      <w:r>
        <w:rPr>
          <w:rFonts w:hint="eastAsia" w:ascii="Times New Roman" w:hAnsi="Times New Roman" w:eastAsia="仿宋_GB2312"/>
          <w:sz w:val="32"/>
          <w:szCs w:val="32"/>
        </w:rPr>
        <w:t>加强普通学校的自然科学、数学和现代外语教学，注重技术教育，大力开办职业技术训练，提升技能水平。</w:t>
      </w:r>
      <w:r>
        <w:rPr>
          <w:rFonts w:hint="eastAsia" w:ascii="仿宋_GB2312" w:hAnsi="仿宋_GB2312" w:eastAsia="仿宋_GB2312" w:cs="仿宋_GB2312"/>
          <w:b/>
          <w:bCs/>
          <w:sz w:val="32"/>
          <w:szCs w:val="32"/>
        </w:rPr>
        <w:t>三是</w:t>
      </w:r>
      <w:r>
        <w:rPr>
          <w:rFonts w:hint="eastAsia" w:ascii="Times New Roman" w:hAnsi="Times New Roman" w:eastAsia="仿宋_GB2312"/>
          <w:sz w:val="32"/>
          <w:szCs w:val="32"/>
        </w:rPr>
        <w:t>注重研究生教育和“天才教育”，鼓励研究生学习国家安全所需的重点学科。《国防教育法》被誉为美国教育史上划时代的纲领性文件，推动美国高等教育进入黄金发展时期，科研实力不断</w:t>
      </w:r>
      <w:r>
        <w:rPr>
          <w:rFonts w:ascii="Times New Roman" w:hAnsi="Times New Roman" w:eastAsia="仿宋_GB2312"/>
          <w:sz w:val="32"/>
          <w:szCs w:val="32"/>
        </w:rPr>
        <w:t>增强</w:t>
      </w:r>
      <w:r>
        <w:rPr>
          <w:rFonts w:hint="eastAsia" w:ascii="Times New Roman" w:hAnsi="Times New Roman" w:eastAsia="仿宋_GB2312"/>
          <w:sz w:val="32"/>
          <w:szCs w:val="32"/>
        </w:rPr>
        <w:t>，贫困子弟、少数族裔等接受高等教育的机会明显扩大，一举奠定了人才与科技优势，助力美国在美苏冷战中获得最终胜利。</w:t>
      </w:r>
    </w:p>
    <w:p w14:paraId="4E94631D">
      <w:pPr>
        <w:spacing w:line="360" w:lineRule="auto"/>
        <w:ind w:firstLine="615"/>
        <w:rPr>
          <w:rFonts w:ascii="Times New Roman" w:hAnsi="Times New Roman" w:eastAsia="仿宋_GB2312"/>
          <w:sz w:val="32"/>
          <w:szCs w:val="32"/>
        </w:rPr>
      </w:pPr>
      <w:r>
        <w:rPr>
          <w:rFonts w:hint="eastAsia" w:ascii="Times New Roman" w:hAnsi="Times New Roman" w:eastAsia="仿宋_GB2312"/>
          <w:sz w:val="32"/>
          <w:szCs w:val="32"/>
        </w:rPr>
        <w:t>在</w:t>
      </w:r>
      <w:r>
        <w:rPr>
          <w:rFonts w:ascii="Times New Roman" w:hAnsi="Times New Roman" w:eastAsia="仿宋_GB2312"/>
          <w:sz w:val="32"/>
          <w:szCs w:val="32"/>
        </w:rPr>
        <w:t>中美</w:t>
      </w:r>
      <w:r>
        <w:rPr>
          <w:rFonts w:hint="eastAsia" w:ascii="Times New Roman" w:hAnsi="Times New Roman" w:eastAsia="仿宋_GB2312"/>
          <w:sz w:val="32"/>
          <w:szCs w:val="32"/>
        </w:rPr>
        <w:t>竞争日益</w:t>
      </w:r>
      <w:r>
        <w:rPr>
          <w:rFonts w:ascii="Times New Roman" w:hAnsi="Times New Roman" w:eastAsia="仿宋_GB2312"/>
          <w:sz w:val="32"/>
          <w:szCs w:val="32"/>
        </w:rPr>
        <w:t>激烈的大背景下，</w:t>
      </w:r>
      <w:r>
        <w:rPr>
          <w:rFonts w:hint="eastAsia" w:ascii="Times New Roman" w:hAnsi="Times New Roman" w:eastAsia="仿宋_GB2312"/>
          <w:sz w:val="32"/>
          <w:szCs w:val="32"/>
        </w:rPr>
        <w:t>美国人工智能国家安全委员会倡导制定《国防教育法案Ⅱ》，重点加强人工智能</w:t>
      </w:r>
      <w:r>
        <w:rPr>
          <w:rFonts w:ascii="Times New Roman" w:hAnsi="Times New Roman" w:eastAsia="仿宋_GB2312"/>
          <w:sz w:val="32"/>
          <w:szCs w:val="32"/>
        </w:rPr>
        <w:t>人才的贯通培养</w:t>
      </w:r>
      <w:r>
        <w:rPr>
          <w:rFonts w:hint="eastAsia" w:ascii="Times New Roman" w:hAnsi="Times New Roman" w:eastAsia="仿宋_GB2312"/>
          <w:sz w:val="32"/>
          <w:szCs w:val="32"/>
        </w:rPr>
        <w:t>，抢夺</w:t>
      </w:r>
      <w:r>
        <w:rPr>
          <w:rFonts w:ascii="Times New Roman" w:hAnsi="Times New Roman" w:eastAsia="仿宋_GB2312"/>
          <w:sz w:val="32"/>
          <w:szCs w:val="32"/>
        </w:rPr>
        <w:t>全球一流</w:t>
      </w:r>
      <w:r>
        <w:rPr>
          <w:rFonts w:hint="eastAsia" w:ascii="Times New Roman" w:hAnsi="Times New Roman" w:eastAsia="仿宋_GB2312"/>
          <w:sz w:val="32"/>
          <w:szCs w:val="32"/>
        </w:rPr>
        <w:t>人工智能</w:t>
      </w:r>
      <w:r>
        <w:rPr>
          <w:rFonts w:ascii="Times New Roman" w:hAnsi="Times New Roman" w:eastAsia="仿宋_GB2312"/>
          <w:sz w:val="32"/>
          <w:szCs w:val="32"/>
        </w:rPr>
        <w:t>人才，</w:t>
      </w:r>
      <w:r>
        <w:rPr>
          <w:rFonts w:hint="eastAsia" w:ascii="Times New Roman" w:hAnsi="Times New Roman" w:eastAsia="仿宋_GB2312"/>
          <w:sz w:val="32"/>
          <w:szCs w:val="32"/>
        </w:rPr>
        <w:t>促进知识链</w:t>
      </w:r>
      <w:r>
        <w:rPr>
          <w:rFonts w:ascii="Times New Roman" w:hAnsi="Times New Roman" w:eastAsia="仿宋_GB2312"/>
          <w:sz w:val="32"/>
          <w:szCs w:val="32"/>
        </w:rPr>
        <w:t>与产业链</w:t>
      </w:r>
      <w:r>
        <w:rPr>
          <w:rFonts w:hint="eastAsia" w:ascii="Times New Roman" w:hAnsi="Times New Roman" w:eastAsia="仿宋_GB2312"/>
          <w:sz w:val="32"/>
          <w:szCs w:val="32"/>
        </w:rPr>
        <w:t>协同</w:t>
      </w:r>
      <w:r>
        <w:rPr>
          <w:rFonts w:ascii="Times New Roman" w:hAnsi="Times New Roman" w:eastAsia="仿宋_GB2312"/>
          <w:sz w:val="32"/>
          <w:szCs w:val="32"/>
        </w:rPr>
        <w:t>共生，</w:t>
      </w:r>
      <w:r>
        <w:rPr>
          <w:rFonts w:hint="eastAsia" w:ascii="Times New Roman" w:hAnsi="Times New Roman" w:eastAsia="仿宋_GB2312"/>
          <w:sz w:val="32"/>
          <w:szCs w:val="32"/>
        </w:rPr>
        <w:t>确保美国</w:t>
      </w:r>
      <w:r>
        <w:rPr>
          <w:rFonts w:ascii="Times New Roman" w:hAnsi="Times New Roman" w:eastAsia="仿宋_GB2312"/>
          <w:sz w:val="32"/>
          <w:szCs w:val="32"/>
        </w:rPr>
        <w:t>在</w:t>
      </w:r>
      <w:r>
        <w:rPr>
          <w:rFonts w:hint="eastAsia" w:ascii="Times New Roman" w:hAnsi="Times New Roman" w:eastAsia="仿宋_GB2312"/>
          <w:sz w:val="32"/>
          <w:szCs w:val="32"/>
        </w:rPr>
        <w:t>新兴技术的绝对领先优势。与1958年《国防教育法》相比，《国防教育法案Ⅱ》将视角从高等教育延伸到基础教育，从国内人才培养延伸到全球人才争夺，从教育内部改革延伸到多领域协同，不断织密技术防线，对我国科技创新人才培养提出了新的挑战。</w:t>
      </w:r>
    </w:p>
    <w:p w14:paraId="2DAB3118">
      <w:pPr>
        <w:spacing w:before="156" w:beforeLines="50" w:after="156" w:afterLines="50" w:line="360" w:lineRule="auto"/>
        <w:ind w:left="643"/>
        <w:rPr>
          <w:rFonts w:ascii="Times New Roman" w:hAnsi="Times New Roman" w:eastAsia="黑体" w:cs="Times New Roman"/>
          <w:bCs/>
          <w:sz w:val="36"/>
          <w:szCs w:val="32"/>
        </w:rPr>
      </w:pPr>
      <w:r>
        <w:rPr>
          <w:rFonts w:hint="eastAsia" w:ascii="Times New Roman" w:hAnsi="Times New Roman" w:eastAsia="黑体" w:cs="Times New Roman"/>
          <w:bCs/>
          <w:sz w:val="36"/>
          <w:szCs w:val="32"/>
        </w:rPr>
        <w:t>三、政策建议</w:t>
      </w:r>
    </w:p>
    <w:p w14:paraId="1B872C3B">
      <w:pPr>
        <w:spacing w:line="360" w:lineRule="auto"/>
        <w:ind w:firstLine="643" w:firstLineChars="200"/>
        <w:rPr>
          <w:rFonts w:ascii="Times New Roman" w:hAnsi="Times New Roman" w:eastAsia="仿宋_GB2312"/>
          <w:sz w:val="32"/>
          <w:szCs w:val="32"/>
        </w:rPr>
      </w:pPr>
      <w:r>
        <w:rPr>
          <w:rFonts w:hint="eastAsia" w:ascii="仿宋" w:hAnsi="仿宋" w:eastAsia="仿宋" w:cs="仿宋_GB2312"/>
          <w:b/>
          <w:bCs/>
          <w:sz w:val="32"/>
          <w:szCs w:val="32"/>
        </w:rPr>
        <w:t>第一，树立“科创教育要从娃娃抓起”的鲜明导向。</w:t>
      </w:r>
      <w:r>
        <w:rPr>
          <w:rFonts w:hint="eastAsia" w:ascii="Times New Roman" w:hAnsi="Times New Roman" w:eastAsia="仿宋_GB2312"/>
          <w:sz w:val="32"/>
          <w:szCs w:val="32"/>
        </w:rPr>
        <w:t>在中小学广泛开设以人工智能为主题</w:t>
      </w:r>
      <w:r>
        <w:rPr>
          <w:rFonts w:ascii="Times New Roman" w:hAnsi="Times New Roman" w:eastAsia="仿宋_GB2312"/>
          <w:sz w:val="32"/>
          <w:szCs w:val="32"/>
        </w:rPr>
        <w:t>的</w:t>
      </w:r>
      <w:r>
        <w:rPr>
          <w:rFonts w:hint="eastAsia" w:ascii="Times New Roman" w:hAnsi="Times New Roman" w:eastAsia="仿宋_GB2312"/>
          <w:sz w:val="32"/>
          <w:szCs w:val="32"/>
        </w:rPr>
        <w:t>科创教育特色课程，倡导科学、数学、</w:t>
      </w:r>
      <w:r>
        <w:rPr>
          <w:rFonts w:ascii="Times New Roman" w:hAnsi="Times New Roman" w:eastAsia="仿宋_GB2312"/>
          <w:sz w:val="32"/>
          <w:szCs w:val="32"/>
        </w:rPr>
        <w:t>物理</w:t>
      </w:r>
      <w:r>
        <w:rPr>
          <w:rFonts w:hint="eastAsia" w:ascii="Times New Roman" w:hAnsi="Times New Roman" w:eastAsia="仿宋_GB2312"/>
          <w:sz w:val="32"/>
          <w:szCs w:val="32"/>
        </w:rPr>
        <w:t>、</w:t>
      </w:r>
      <w:r>
        <w:rPr>
          <w:rFonts w:ascii="Times New Roman" w:hAnsi="Times New Roman" w:eastAsia="仿宋_GB2312"/>
          <w:sz w:val="32"/>
          <w:szCs w:val="32"/>
        </w:rPr>
        <w:t>信息技术</w:t>
      </w:r>
      <w:r>
        <w:rPr>
          <w:rFonts w:hint="eastAsia" w:ascii="Times New Roman" w:hAnsi="Times New Roman" w:eastAsia="仿宋_GB2312"/>
          <w:sz w:val="32"/>
          <w:szCs w:val="32"/>
        </w:rPr>
        <w:t>等跨学科学习。扭转中小学科创教师以兼职为主、专业发展受限的不良局面，对其职称评审实行单列计划、</w:t>
      </w:r>
      <w:r>
        <w:rPr>
          <w:rFonts w:ascii="Times New Roman" w:hAnsi="Times New Roman" w:eastAsia="仿宋_GB2312"/>
          <w:sz w:val="32"/>
          <w:szCs w:val="32"/>
        </w:rPr>
        <w:t>单设标准</w:t>
      </w:r>
      <w:r>
        <w:rPr>
          <w:rFonts w:hint="eastAsia" w:ascii="Times New Roman" w:hAnsi="Times New Roman" w:eastAsia="仿宋_GB2312"/>
          <w:sz w:val="32"/>
          <w:szCs w:val="32"/>
        </w:rPr>
        <w:t>，选拔</w:t>
      </w:r>
      <w:r>
        <w:rPr>
          <w:rFonts w:ascii="Times New Roman" w:hAnsi="Times New Roman" w:eastAsia="仿宋_GB2312"/>
          <w:sz w:val="32"/>
          <w:szCs w:val="32"/>
        </w:rPr>
        <w:t>培育</w:t>
      </w:r>
      <w:r>
        <w:rPr>
          <w:rFonts w:hint="eastAsia" w:ascii="Times New Roman" w:hAnsi="Times New Roman" w:eastAsia="仿宋_GB2312"/>
          <w:sz w:val="32"/>
          <w:szCs w:val="32"/>
        </w:rPr>
        <w:t>一批科创名师。将信息技术设为中考必考科目和新高考选考科目，淡化成绩排名，探索开展模拟仿真、情境任务、协作学习环境等新型评价。将数字素养和计算思维纳入学生综合素质评价。</w:t>
      </w:r>
    </w:p>
    <w:p w14:paraId="2BB883FD">
      <w:pPr>
        <w:spacing w:line="360" w:lineRule="auto"/>
        <w:ind w:firstLine="643" w:firstLineChars="200"/>
        <w:rPr>
          <w:rFonts w:ascii="Times New Roman" w:hAnsi="Times New Roman" w:eastAsia="仿宋_GB2312"/>
          <w:sz w:val="32"/>
          <w:szCs w:val="32"/>
        </w:rPr>
      </w:pPr>
      <w:r>
        <w:rPr>
          <w:rFonts w:hint="eastAsia" w:ascii="仿宋" w:hAnsi="仿宋" w:eastAsia="仿宋" w:cs="仿宋_GB2312"/>
          <w:b/>
          <w:bCs/>
          <w:sz w:val="32"/>
          <w:szCs w:val="32"/>
        </w:rPr>
        <w:t>第二，实施人工智能人才国家储备计划。</w:t>
      </w:r>
      <w:r>
        <w:rPr>
          <w:rFonts w:hint="eastAsia" w:ascii="Times New Roman" w:hAnsi="Times New Roman" w:eastAsia="仿宋_GB2312"/>
          <w:sz w:val="32"/>
          <w:szCs w:val="32"/>
        </w:rPr>
        <w:t>鼓励高校开设人工智能专业，分类培养理论人才、研发人才</w:t>
      </w:r>
      <w:r>
        <w:rPr>
          <w:rFonts w:ascii="Times New Roman" w:hAnsi="Times New Roman" w:eastAsia="仿宋_GB2312"/>
          <w:sz w:val="32"/>
          <w:szCs w:val="32"/>
        </w:rPr>
        <w:t>和应用</w:t>
      </w:r>
      <w:r>
        <w:rPr>
          <w:rFonts w:hint="eastAsia" w:ascii="Times New Roman" w:hAnsi="Times New Roman" w:eastAsia="仿宋_GB2312"/>
          <w:sz w:val="32"/>
          <w:szCs w:val="32"/>
        </w:rPr>
        <w:t>人才，健全以产业创新为导向的学科专业动态调整机制。大幅增加人工智能专业的研究生招生名额，完善学位质量保障机制。集中优势学科力量形成育人优势，引导拥有</w:t>
      </w:r>
      <w:r>
        <w:rPr>
          <w:rFonts w:ascii="Times New Roman" w:hAnsi="Times New Roman" w:eastAsia="仿宋_GB2312"/>
          <w:sz w:val="32"/>
          <w:szCs w:val="32"/>
        </w:rPr>
        <w:t>人工智能</w:t>
      </w:r>
      <w:r>
        <w:rPr>
          <w:rFonts w:hint="eastAsia" w:ascii="Times New Roman" w:hAnsi="Times New Roman" w:eastAsia="仿宋_GB2312"/>
          <w:sz w:val="32"/>
          <w:szCs w:val="32"/>
        </w:rPr>
        <w:t>相关一流</w:t>
      </w:r>
      <w:r>
        <w:rPr>
          <w:rFonts w:ascii="Times New Roman" w:hAnsi="Times New Roman" w:eastAsia="仿宋_GB2312"/>
          <w:sz w:val="32"/>
          <w:szCs w:val="32"/>
        </w:rPr>
        <w:t>学科的</w:t>
      </w:r>
      <w:r>
        <w:rPr>
          <w:rFonts w:hint="eastAsia" w:ascii="Times New Roman" w:hAnsi="Times New Roman" w:eastAsia="仿宋_GB2312"/>
          <w:sz w:val="32"/>
          <w:szCs w:val="32"/>
        </w:rPr>
        <w:t>不同高校成立教育联盟，通过课程共建、学制互通、师资共享等方式，联合培养人工智能领军人才。</w:t>
      </w:r>
    </w:p>
    <w:p w14:paraId="60AC4F5C">
      <w:pPr>
        <w:spacing w:line="360" w:lineRule="auto"/>
        <w:ind w:firstLine="643" w:firstLineChars="200"/>
        <w:rPr>
          <w:rFonts w:ascii="Times New Roman" w:hAnsi="Times New Roman" w:eastAsia="仿宋_GB2312"/>
          <w:sz w:val="32"/>
          <w:szCs w:val="32"/>
        </w:rPr>
      </w:pPr>
      <w:r>
        <w:rPr>
          <w:rFonts w:hint="eastAsia" w:ascii="仿宋" w:hAnsi="仿宋" w:eastAsia="仿宋" w:cs="仿宋_GB2312"/>
          <w:b/>
          <w:bCs/>
          <w:sz w:val="32"/>
          <w:szCs w:val="32"/>
        </w:rPr>
        <w:t>第三，打造互聘共享的复合型师资队伍。</w:t>
      </w:r>
      <w:r>
        <w:rPr>
          <w:rFonts w:hint="eastAsia" w:ascii="Times New Roman" w:hAnsi="Times New Roman" w:eastAsia="仿宋_GB2312"/>
          <w:sz w:val="32"/>
          <w:szCs w:val="32"/>
        </w:rPr>
        <w:t>针对高水平师资匮乏和</w:t>
      </w:r>
      <w:r>
        <w:rPr>
          <w:rFonts w:ascii="Times New Roman" w:hAnsi="Times New Roman" w:eastAsia="仿宋_GB2312"/>
          <w:sz w:val="32"/>
          <w:szCs w:val="32"/>
        </w:rPr>
        <w:t>学科结构不合理问题</w:t>
      </w:r>
      <w:r>
        <w:rPr>
          <w:rFonts w:hint="eastAsia" w:ascii="Times New Roman" w:hAnsi="Times New Roman" w:eastAsia="仿宋_GB2312"/>
          <w:sz w:val="32"/>
          <w:szCs w:val="32"/>
        </w:rPr>
        <w:t>，引导高校整合优化人工智能专业师资队伍，从计算机科学、通信工程、自动化、统计学、哲学等专业选配人才，跨专业</w:t>
      </w:r>
      <w:r>
        <w:rPr>
          <w:rFonts w:ascii="Times New Roman" w:hAnsi="Times New Roman" w:eastAsia="仿宋_GB2312"/>
          <w:sz w:val="32"/>
          <w:szCs w:val="32"/>
        </w:rPr>
        <w:t>共享</w:t>
      </w:r>
      <w:r>
        <w:rPr>
          <w:rFonts w:hint="eastAsia" w:ascii="Times New Roman" w:hAnsi="Times New Roman" w:eastAsia="仿宋_GB2312"/>
          <w:sz w:val="32"/>
          <w:szCs w:val="32"/>
        </w:rPr>
        <w:t>优秀师资。探索多样化的教师补充渠道，提升兼职教师评聘的灵活性，吸引人工智能行业的一流人才从教，建立科学家和</w:t>
      </w:r>
      <w:r>
        <w:rPr>
          <w:rFonts w:ascii="Times New Roman" w:hAnsi="Times New Roman" w:eastAsia="仿宋_GB2312"/>
          <w:sz w:val="32"/>
          <w:szCs w:val="32"/>
        </w:rPr>
        <w:t>工程师</w:t>
      </w:r>
      <w:r>
        <w:rPr>
          <w:rFonts w:hint="eastAsia" w:ascii="Times New Roman" w:hAnsi="Times New Roman" w:eastAsia="仿宋_GB2312"/>
          <w:sz w:val="32"/>
          <w:szCs w:val="32"/>
        </w:rPr>
        <w:t>驻校制度。</w:t>
      </w:r>
    </w:p>
    <w:p w14:paraId="4D6D5D14">
      <w:pPr>
        <w:spacing w:line="360" w:lineRule="auto"/>
        <w:ind w:firstLine="643" w:firstLineChars="200"/>
        <w:rPr>
          <w:rFonts w:ascii="Times New Roman" w:hAnsi="Times New Roman" w:eastAsia="仿宋_GB2312"/>
          <w:sz w:val="32"/>
          <w:szCs w:val="32"/>
        </w:rPr>
      </w:pPr>
      <w:r>
        <w:rPr>
          <w:rFonts w:hint="eastAsia" w:ascii="仿宋" w:hAnsi="仿宋" w:eastAsia="仿宋" w:cs="仿宋_GB2312"/>
          <w:b/>
          <w:bCs/>
          <w:sz w:val="32"/>
          <w:szCs w:val="32"/>
        </w:rPr>
        <w:t>第四，构建高水平的新兴技术研究网络。</w:t>
      </w:r>
      <w:r>
        <w:rPr>
          <w:rFonts w:hint="eastAsia" w:ascii="Times New Roman" w:hAnsi="Times New Roman" w:eastAsia="仿宋_GB2312"/>
          <w:sz w:val="32"/>
          <w:szCs w:val="32"/>
        </w:rPr>
        <w:t>在国家自然科学基金和国家哲学社科基金设立人工智能专项资助计划，面向优秀硕博研究生设立奖学金和研究基金。加快布局人工智能及</w:t>
      </w:r>
      <w:r>
        <w:rPr>
          <w:rFonts w:ascii="Times New Roman" w:hAnsi="Times New Roman" w:eastAsia="仿宋_GB2312"/>
          <w:sz w:val="32"/>
          <w:szCs w:val="32"/>
        </w:rPr>
        <w:t>新兴技术</w:t>
      </w:r>
      <w:r>
        <w:rPr>
          <w:rFonts w:hint="eastAsia" w:ascii="Times New Roman" w:hAnsi="Times New Roman" w:eastAsia="仿宋_GB2312"/>
          <w:sz w:val="32"/>
          <w:szCs w:val="32"/>
        </w:rPr>
        <w:t>领域</w:t>
      </w:r>
      <w:r>
        <w:rPr>
          <w:rFonts w:ascii="Times New Roman" w:hAnsi="Times New Roman" w:eastAsia="仿宋_GB2312"/>
          <w:sz w:val="32"/>
          <w:szCs w:val="32"/>
        </w:rPr>
        <w:t>的</w:t>
      </w:r>
      <w:r>
        <w:rPr>
          <w:rFonts w:hint="eastAsia" w:ascii="Times New Roman" w:hAnsi="Times New Roman" w:eastAsia="仿宋_GB2312"/>
          <w:sz w:val="32"/>
          <w:szCs w:val="32"/>
        </w:rPr>
        <w:t>重点实验室、工程</w:t>
      </w:r>
      <w:r>
        <w:rPr>
          <w:rFonts w:ascii="Times New Roman" w:hAnsi="Times New Roman" w:eastAsia="仿宋_GB2312"/>
          <w:sz w:val="32"/>
          <w:szCs w:val="32"/>
        </w:rPr>
        <w:t>中心和</w:t>
      </w:r>
      <w:r>
        <w:rPr>
          <w:rFonts w:hint="eastAsia" w:ascii="Times New Roman" w:hAnsi="Times New Roman" w:eastAsia="仿宋_GB2312"/>
          <w:sz w:val="32"/>
          <w:szCs w:val="32"/>
        </w:rPr>
        <w:t>产学研基地，在关键技术方面形成自主知识产权和国际</w:t>
      </w:r>
      <w:r>
        <w:rPr>
          <w:rFonts w:ascii="Times New Roman" w:hAnsi="Times New Roman" w:eastAsia="仿宋_GB2312"/>
          <w:sz w:val="32"/>
          <w:szCs w:val="32"/>
        </w:rPr>
        <w:t>通用标准</w:t>
      </w:r>
      <w:r>
        <w:rPr>
          <w:rFonts w:hint="eastAsia" w:ascii="Times New Roman" w:hAnsi="Times New Roman" w:eastAsia="仿宋_GB2312"/>
          <w:sz w:val="32"/>
          <w:szCs w:val="32"/>
        </w:rPr>
        <w:t>。</w:t>
      </w:r>
    </w:p>
    <w:p w14:paraId="7798AE3D">
      <w:pPr>
        <w:spacing w:line="360" w:lineRule="auto"/>
        <w:ind w:firstLine="643" w:firstLineChars="200"/>
        <w:rPr>
          <w:rFonts w:ascii="Times New Roman" w:hAnsi="Times New Roman" w:eastAsia="仿宋_GB2312"/>
          <w:sz w:val="32"/>
          <w:szCs w:val="32"/>
        </w:rPr>
      </w:pPr>
      <w:r>
        <w:rPr>
          <w:rFonts w:hint="eastAsia" w:ascii="仿宋" w:hAnsi="仿宋" w:eastAsia="仿宋" w:cs="仿宋_GB2312"/>
          <w:b/>
          <w:bCs/>
          <w:sz w:val="32"/>
          <w:szCs w:val="32"/>
        </w:rPr>
        <w:t>第五，建立跨界联动的协同育人机制。</w:t>
      </w:r>
      <w:r>
        <w:rPr>
          <w:rFonts w:hint="eastAsia" w:ascii="Times New Roman" w:hAnsi="Times New Roman" w:eastAsia="仿宋_GB2312"/>
          <w:sz w:val="32"/>
          <w:szCs w:val="32"/>
        </w:rPr>
        <w:t>成立国家人工智能</w:t>
      </w:r>
      <w:r>
        <w:rPr>
          <w:rFonts w:ascii="Times New Roman" w:hAnsi="Times New Roman" w:eastAsia="仿宋_GB2312"/>
          <w:sz w:val="32"/>
          <w:szCs w:val="32"/>
        </w:rPr>
        <w:t>人才</w:t>
      </w:r>
      <w:r>
        <w:rPr>
          <w:rFonts w:hint="eastAsia" w:ascii="Times New Roman" w:hAnsi="Times New Roman" w:eastAsia="仿宋_GB2312"/>
          <w:sz w:val="32"/>
          <w:szCs w:val="32"/>
        </w:rPr>
        <w:t>工作</w:t>
      </w:r>
      <w:r>
        <w:rPr>
          <w:rFonts w:ascii="Times New Roman" w:hAnsi="Times New Roman" w:eastAsia="仿宋_GB2312"/>
          <w:sz w:val="32"/>
          <w:szCs w:val="32"/>
        </w:rPr>
        <w:t>领导小组，</w:t>
      </w:r>
      <w:r>
        <w:rPr>
          <w:rFonts w:hint="eastAsia" w:ascii="Times New Roman" w:hAnsi="Times New Roman" w:eastAsia="仿宋_GB2312"/>
          <w:sz w:val="32"/>
          <w:szCs w:val="32"/>
        </w:rPr>
        <w:t>推动教育、科技、发改、工信、商务等部门业务整合，统筹人工智能及</w:t>
      </w:r>
      <w:r>
        <w:rPr>
          <w:rFonts w:ascii="Times New Roman" w:hAnsi="Times New Roman" w:eastAsia="仿宋_GB2312"/>
          <w:sz w:val="32"/>
          <w:szCs w:val="32"/>
        </w:rPr>
        <w:t>新兴技术</w:t>
      </w:r>
      <w:r>
        <w:rPr>
          <w:rFonts w:hint="eastAsia" w:ascii="Times New Roman" w:hAnsi="Times New Roman" w:eastAsia="仿宋_GB2312"/>
          <w:sz w:val="32"/>
          <w:szCs w:val="32"/>
        </w:rPr>
        <w:t>人才培养工作。鼓励高新科技领域的研究机构、企业、场馆等向学校开放，为</w:t>
      </w:r>
      <w:r>
        <w:rPr>
          <w:rFonts w:ascii="Times New Roman" w:hAnsi="Times New Roman" w:eastAsia="仿宋_GB2312"/>
          <w:sz w:val="32"/>
          <w:szCs w:val="32"/>
        </w:rPr>
        <w:t>学生</w:t>
      </w:r>
      <w:r>
        <w:rPr>
          <w:rFonts w:hint="eastAsia" w:ascii="Times New Roman" w:hAnsi="Times New Roman" w:eastAsia="仿宋_GB2312"/>
          <w:sz w:val="32"/>
          <w:szCs w:val="32"/>
        </w:rPr>
        <w:t>开设研究项目和寒暑期学习计划。强化产教融合，将实践性学习纳入研究生培养方案，设置专门学分，加强双导师队伍建设，推动行业企业深度参与人工智能人才培养。</w:t>
      </w:r>
    </w:p>
    <w:p w14:paraId="37616288">
      <w:pPr>
        <w:spacing w:line="360" w:lineRule="auto"/>
        <w:ind w:firstLine="643" w:firstLineChars="200"/>
        <w:rPr>
          <w:rFonts w:ascii="Times New Roman" w:hAnsi="Times New Roman" w:eastAsia="仿宋_GB2312"/>
          <w:sz w:val="32"/>
          <w:szCs w:val="32"/>
        </w:rPr>
      </w:pPr>
      <w:r>
        <w:rPr>
          <w:rFonts w:hint="eastAsia" w:ascii="仿宋" w:hAnsi="仿宋" w:eastAsia="仿宋" w:cs="仿宋_GB2312"/>
          <w:b/>
          <w:bCs/>
          <w:sz w:val="32"/>
          <w:szCs w:val="32"/>
        </w:rPr>
        <w:t>第六，建设国际人工智能人才高地。</w:t>
      </w:r>
      <w:r>
        <w:rPr>
          <w:rFonts w:hint="eastAsia" w:ascii="Times New Roman" w:hAnsi="Times New Roman" w:eastAsia="仿宋_GB2312"/>
          <w:sz w:val="32"/>
          <w:szCs w:val="32"/>
        </w:rPr>
        <w:t>与</w:t>
      </w:r>
      <w:r>
        <w:rPr>
          <w:rFonts w:ascii="Times New Roman" w:hAnsi="Times New Roman" w:eastAsia="仿宋_GB2312"/>
          <w:sz w:val="32"/>
          <w:szCs w:val="32"/>
        </w:rPr>
        <w:t>友好国家</w:t>
      </w:r>
      <w:r>
        <w:rPr>
          <w:rFonts w:hint="eastAsia" w:ascii="Times New Roman" w:hAnsi="Times New Roman" w:eastAsia="仿宋_GB2312"/>
          <w:sz w:val="32"/>
          <w:szCs w:val="32"/>
        </w:rPr>
        <w:t>联合成立全球人工智能研究基金，布局一系列前沿研究计划和重大工程项目。鼓励我国人工智能行业龙头在欧美</w:t>
      </w:r>
      <w:r>
        <w:rPr>
          <w:rFonts w:ascii="Times New Roman" w:hAnsi="Times New Roman" w:eastAsia="仿宋_GB2312"/>
          <w:sz w:val="32"/>
          <w:szCs w:val="32"/>
        </w:rPr>
        <w:t>国家</w:t>
      </w:r>
      <w:r>
        <w:rPr>
          <w:rFonts w:hint="eastAsia" w:ascii="Times New Roman" w:hAnsi="Times New Roman" w:eastAsia="仿宋_GB2312"/>
          <w:sz w:val="32"/>
          <w:szCs w:val="32"/>
        </w:rPr>
        <w:t>建设实验室和研究中心，灵活利用国际人才参与技术研发。适当淡化人工</w:t>
      </w:r>
      <w:r>
        <w:rPr>
          <w:rFonts w:ascii="Times New Roman" w:hAnsi="Times New Roman" w:eastAsia="仿宋_GB2312"/>
          <w:sz w:val="32"/>
          <w:szCs w:val="32"/>
        </w:rPr>
        <w:t>智能领域的</w:t>
      </w:r>
      <w:r>
        <w:rPr>
          <w:rFonts w:hint="eastAsia" w:ascii="Times New Roman" w:hAnsi="Times New Roman" w:eastAsia="仿宋_GB2312"/>
          <w:sz w:val="32"/>
          <w:szCs w:val="32"/>
        </w:rPr>
        <w:t>国家级人才称号，引导高校和科研院所制定个性化的高端人才引进政策。面向新兴技术</w:t>
      </w:r>
      <w:r>
        <w:rPr>
          <w:rFonts w:ascii="Times New Roman" w:hAnsi="Times New Roman" w:eastAsia="仿宋_GB2312"/>
          <w:sz w:val="32"/>
          <w:szCs w:val="32"/>
        </w:rPr>
        <w:t>领域</w:t>
      </w:r>
      <w:r>
        <w:rPr>
          <w:rFonts w:hint="eastAsia" w:ascii="Times New Roman" w:hAnsi="Times New Roman" w:eastAsia="仿宋_GB2312"/>
          <w:sz w:val="32"/>
          <w:szCs w:val="32"/>
        </w:rPr>
        <w:t>的国际高端人才调整移民政策和签证制度，在全球范围内吸引人才。</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10" w:usb3="00000000" w:csb0="00040000" w:csb1="00000000"/>
  </w:font>
  <w:font w:name="华文仿宋">
    <w:panose1 w:val="02010600040101010101"/>
    <w:charset w:val="86"/>
    <w:family w:val="auto"/>
    <w:pitch w:val="default"/>
    <w:sig w:usb0="00000287" w:usb1="080F0000" w:usb2="00000000" w:usb3="00000000" w:csb0="0004009F" w:csb1="DFD70000"/>
  </w:font>
  <w:font w:name="黑体">
    <w:altName w:val="汉仪中黑KW"/>
    <w:panose1 w:val="00000000000000000000"/>
    <w:charset w:val="00"/>
    <w:family w:val="auto"/>
    <w:pitch w:val="default"/>
    <w:sig w:usb0="00000000" w:usb1="00000000" w:usb2="00000000" w:usb3="00000000" w:csb0="00000000" w:csb1="00000000"/>
  </w:font>
  <w:font w:name="华文中宋">
    <w:altName w:val="汉仪书宋二KW"/>
    <w:panose1 w:val="02010600040101010101"/>
    <w:charset w:val="86"/>
    <w:family w:val="auto"/>
    <w:pitch w:val="default"/>
    <w:sig w:usb0="00000000" w:usb1="00000000" w:usb2="00000010" w:usb3="00000000" w:csb0="0004009F" w:csb1="00000000"/>
  </w:font>
  <w:font w:name="Arial">
    <w:panose1 w:val="020B0604020202090204"/>
    <w:charset w:val="00"/>
    <w:family w:val="swiss"/>
    <w:pitch w:val="default"/>
    <w:sig w:usb0="E0000AFF" w:usb1="00007843" w:usb2="00000001" w:usb3="00000000" w:csb0="400001BF" w:csb1="DFF70000"/>
  </w:font>
  <w:font w:name="楷体">
    <w:altName w:val="汉仪楷体KW"/>
    <w:panose1 w:val="02010609060101010101"/>
    <w:charset w:val="86"/>
    <w:family w:val="modern"/>
    <w:pitch w:val="default"/>
    <w:sig w:usb0="00000000" w:usb1="00000000" w:usb2="00000016" w:usb3="00000000" w:csb0="00040001" w:csb1="00000000"/>
  </w:font>
  <w:font w:name="楷体_GB2312">
    <w:altName w:val="汉仪楷体简"/>
    <w:panose1 w:val="02010609030101010101"/>
    <w:charset w:val="86"/>
    <w:family w:val="modern"/>
    <w:pitch w:val="default"/>
    <w:sig w:usb0="00000000" w:usb1="00000000" w:usb2="0000001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4981451"/>
    </w:sdtPr>
    <w:sdtContent>
      <w:p w14:paraId="4351E499">
        <w:pPr>
          <w:pStyle w:val="5"/>
          <w:jc w:val="center"/>
        </w:pPr>
        <w:r>
          <w:fldChar w:fldCharType="begin"/>
        </w:r>
        <w:r>
          <w:instrText xml:space="preserve">PAGE   \* MERGEFORMAT</w:instrText>
        </w:r>
        <w:r>
          <w:fldChar w:fldCharType="separate"/>
        </w:r>
        <w:r>
          <w:rPr>
            <w:lang w:val="zh-CN"/>
          </w:rPr>
          <w:t>7</w:t>
        </w:r>
        <w:r>
          <w:fldChar w:fldCharType="end"/>
        </w:r>
      </w:p>
    </w:sdtContent>
  </w:sdt>
  <w:p w14:paraId="37BBAB02">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55B"/>
    <w:rsid w:val="00017953"/>
    <w:rsid w:val="00026EFB"/>
    <w:rsid w:val="00057E2E"/>
    <w:rsid w:val="00143411"/>
    <w:rsid w:val="00147D8E"/>
    <w:rsid w:val="001D3444"/>
    <w:rsid w:val="00210EDE"/>
    <w:rsid w:val="00211B9A"/>
    <w:rsid w:val="00221470"/>
    <w:rsid w:val="0027762C"/>
    <w:rsid w:val="002E5970"/>
    <w:rsid w:val="002F13B0"/>
    <w:rsid w:val="002F2EDF"/>
    <w:rsid w:val="0031616A"/>
    <w:rsid w:val="00331B84"/>
    <w:rsid w:val="00340A63"/>
    <w:rsid w:val="0036544E"/>
    <w:rsid w:val="00385625"/>
    <w:rsid w:val="0039275A"/>
    <w:rsid w:val="003B26C4"/>
    <w:rsid w:val="003C0A5F"/>
    <w:rsid w:val="003C7CD2"/>
    <w:rsid w:val="0040127F"/>
    <w:rsid w:val="0044616C"/>
    <w:rsid w:val="00461380"/>
    <w:rsid w:val="00466F39"/>
    <w:rsid w:val="004F4D20"/>
    <w:rsid w:val="005007D4"/>
    <w:rsid w:val="00500CF4"/>
    <w:rsid w:val="00586D73"/>
    <w:rsid w:val="005B37D7"/>
    <w:rsid w:val="005C6AB7"/>
    <w:rsid w:val="00613E7A"/>
    <w:rsid w:val="00627FDA"/>
    <w:rsid w:val="006427BA"/>
    <w:rsid w:val="006500BC"/>
    <w:rsid w:val="00652AA4"/>
    <w:rsid w:val="00683717"/>
    <w:rsid w:val="0069768E"/>
    <w:rsid w:val="006B4623"/>
    <w:rsid w:val="006C5BE0"/>
    <w:rsid w:val="006E7178"/>
    <w:rsid w:val="00760BCD"/>
    <w:rsid w:val="00774C9C"/>
    <w:rsid w:val="007811A8"/>
    <w:rsid w:val="007E1FB9"/>
    <w:rsid w:val="007E507F"/>
    <w:rsid w:val="0080283D"/>
    <w:rsid w:val="008119E1"/>
    <w:rsid w:val="00896673"/>
    <w:rsid w:val="008B1F51"/>
    <w:rsid w:val="008D10C1"/>
    <w:rsid w:val="0090419A"/>
    <w:rsid w:val="009973F8"/>
    <w:rsid w:val="00997F9A"/>
    <w:rsid w:val="009A2ED9"/>
    <w:rsid w:val="009A3586"/>
    <w:rsid w:val="009B5997"/>
    <w:rsid w:val="00A2455B"/>
    <w:rsid w:val="00A32BBE"/>
    <w:rsid w:val="00A40B4C"/>
    <w:rsid w:val="00A473B7"/>
    <w:rsid w:val="00A50501"/>
    <w:rsid w:val="00A5650A"/>
    <w:rsid w:val="00A703A5"/>
    <w:rsid w:val="00A70607"/>
    <w:rsid w:val="00A82328"/>
    <w:rsid w:val="00A90D1F"/>
    <w:rsid w:val="00AA4157"/>
    <w:rsid w:val="00AE2890"/>
    <w:rsid w:val="00B300FD"/>
    <w:rsid w:val="00B67652"/>
    <w:rsid w:val="00B72432"/>
    <w:rsid w:val="00B95B79"/>
    <w:rsid w:val="00BB01AB"/>
    <w:rsid w:val="00C22D07"/>
    <w:rsid w:val="00C36FBE"/>
    <w:rsid w:val="00C76D63"/>
    <w:rsid w:val="00C8045D"/>
    <w:rsid w:val="00C91142"/>
    <w:rsid w:val="00CA51BF"/>
    <w:rsid w:val="00D138B2"/>
    <w:rsid w:val="00D23008"/>
    <w:rsid w:val="00D92882"/>
    <w:rsid w:val="00DB4DC8"/>
    <w:rsid w:val="00DD01BA"/>
    <w:rsid w:val="00DF1262"/>
    <w:rsid w:val="00DF4B23"/>
    <w:rsid w:val="00E065D9"/>
    <w:rsid w:val="00E24194"/>
    <w:rsid w:val="00E50BA5"/>
    <w:rsid w:val="00E8672D"/>
    <w:rsid w:val="00E955A9"/>
    <w:rsid w:val="00E96818"/>
    <w:rsid w:val="00EC7C0B"/>
    <w:rsid w:val="00F35C4C"/>
    <w:rsid w:val="00F45663"/>
    <w:rsid w:val="00F5165C"/>
    <w:rsid w:val="00F57772"/>
    <w:rsid w:val="00F65902"/>
    <w:rsid w:val="00F67195"/>
    <w:rsid w:val="00FB34D5"/>
    <w:rsid w:val="00FC73FC"/>
    <w:rsid w:val="08D346B0"/>
    <w:rsid w:val="0B3C619B"/>
    <w:rsid w:val="11373F18"/>
    <w:rsid w:val="1A02204B"/>
    <w:rsid w:val="1C5A7005"/>
    <w:rsid w:val="2CA660E4"/>
    <w:rsid w:val="2FAA2B11"/>
    <w:rsid w:val="33527983"/>
    <w:rsid w:val="37FC2378"/>
    <w:rsid w:val="40842F0A"/>
    <w:rsid w:val="40BE01CA"/>
    <w:rsid w:val="43030A5E"/>
    <w:rsid w:val="46BC4E0F"/>
    <w:rsid w:val="48D60DEA"/>
    <w:rsid w:val="588427A5"/>
    <w:rsid w:val="5B346571"/>
    <w:rsid w:val="61317F0B"/>
    <w:rsid w:val="68262975"/>
    <w:rsid w:val="772206E9"/>
    <w:rsid w:val="7FE071D8"/>
    <w:rsid w:val="DFDD5F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1"/>
    <w:semiHidden/>
    <w:unhideWhenUsed/>
    <w:qFormat/>
    <w:uiPriority w:val="99"/>
    <w:pPr>
      <w:jc w:val="left"/>
    </w:pPr>
  </w:style>
  <w:style w:type="paragraph" w:styleId="3">
    <w:name w:val="Body Text"/>
    <w:basedOn w:val="1"/>
    <w:unhideWhenUsed/>
    <w:qFormat/>
    <w:uiPriority w:val="0"/>
    <w:pPr>
      <w:spacing w:after="120" w:line="490" w:lineRule="exact"/>
    </w:pPr>
    <w:rPr>
      <w:rFonts w:ascii="仿宋_GB2312" w:hAnsi="华文仿宋" w:cs="黑体"/>
      <w:sz w:val="30"/>
    </w:rPr>
  </w:style>
  <w:style w:type="paragraph" w:styleId="4">
    <w:name w:val="Balloon Text"/>
    <w:basedOn w:val="1"/>
    <w:link w:val="20"/>
    <w:semiHidden/>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link w:val="18"/>
    <w:semiHidden/>
    <w:unhideWhenUsed/>
    <w:qFormat/>
    <w:uiPriority w:val="99"/>
    <w:pPr>
      <w:widowControl/>
      <w:snapToGrid w:val="0"/>
      <w:jc w:val="left"/>
    </w:pPr>
    <w:rPr>
      <w:sz w:val="18"/>
      <w:szCs w:val="18"/>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Title"/>
    <w:basedOn w:val="1"/>
    <w:next w:val="1"/>
    <w:qFormat/>
    <w:uiPriority w:val="10"/>
    <w:pPr>
      <w:spacing w:before="480" w:after="480"/>
      <w:jc w:val="center"/>
      <w:outlineLvl w:val="0"/>
    </w:pPr>
    <w:rPr>
      <w:rFonts w:ascii="华文中宋" w:hAnsi="华文中宋" w:eastAsia="华文中宋" w:cstheme="majorBidi"/>
      <w:b/>
      <w:bCs/>
      <w:sz w:val="36"/>
      <w:szCs w:val="32"/>
    </w:rPr>
  </w:style>
  <w:style w:type="paragraph" w:styleId="10">
    <w:name w:val="annotation subject"/>
    <w:basedOn w:val="2"/>
    <w:next w:val="2"/>
    <w:link w:val="22"/>
    <w:semiHidden/>
    <w:unhideWhenUsed/>
    <w:qFormat/>
    <w:uiPriority w:val="99"/>
    <w:rPr>
      <w:b/>
      <w:bCs/>
    </w:rPr>
  </w:style>
  <w:style w:type="character" w:styleId="13">
    <w:name w:val="Strong"/>
    <w:basedOn w:val="12"/>
    <w:qFormat/>
    <w:uiPriority w:val="22"/>
    <w:rPr>
      <w:b/>
      <w:bCs/>
    </w:rPr>
  </w:style>
  <w:style w:type="character" w:styleId="14">
    <w:name w:val="annotation reference"/>
    <w:basedOn w:val="12"/>
    <w:semiHidden/>
    <w:unhideWhenUsed/>
    <w:qFormat/>
    <w:uiPriority w:val="99"/>
    <w:rPr>
      <w:sz w:val="21"/>
      <w:szCs w:val="21"/>
    </w:rPr>
  </w:style>
  <w:style w:type="character" w:styleId="15">
    <w:name w:val="footnote reference"/>
    <w:basedOn w:val="12"/>
    <w:semiHidden/>
    <w:unhideWhenUsed/>
    <w:qFormat/>
    <w:uiPriority w:val="99"/>
    <w:rPr>
      <w:vertAlign w:val="superscript"/>
    </w:rPr>
  </w:style>
  <w:style w:type="character" w:customStyle="1" w:styleId="16">
    <w:name w:val="页眉 字符"/>
    <w:basedOn w:val="12"/>
    <w:link w:val="6"/>
    <w:qFormat/>
    <w:uiPriority w:val="99"/>
    <w:rPr>
      <w:sz w:val="18"/>
      <w:szCs w:val="18"/>
    </w:rPr>
  </w:style>
  <w:style w:type="character" w:customStyle="1" w:styleId="17">
    <w:name w:val="页脚 字符"/>
    <w:basedOn w:val="12"/>
    <w:link w:val="5"/>
    <w:qFormat/>
    <w:uiPriority w:val="99"/>
    <w:rPr>
      <w:sz w:val="18"/>
      <w:szCs w:val="18"/>
    </w:rPr>
  </w:style>
  <w:style w:type="character" w:customStyle="1" w:styleId="18">
    <w:name w:val="脚注文本 字符"/>
    <w:basedOn w:val="12"/>
    <w:link w:val="7"/>
    <w:semiHidden/>
    <w:qFormat/>
    <w:uiPriority w:val="99"/>
    <w:rPr>
      <w:sz w:val="18"/>
      <w:szCs w:val="18"/>
    </w:rPr>
  </w:style>
  <w:style w:type="paragraph" w:styleId="19">
    <w:name w:val="List Paragraph"/>
    <w:basedOn w:val="1"/>
    <w:qFormat/>
    <w:uiPriority w:val="34"/>
    <w:pPr>
      <w:ind w:firstLine="420" w:firstLineChars="200"/>
    </w:pPr>
  </w:style>
  <w:style w:type="character" w:customStyle="1" w:styleId="20">
    <w:name w:val="批注框文本 字符"/>
    <w:basedOn w:val="12"/>
    <w:link w:val="4"/>
    <w:semiHidden/>
    <w:qFormat/>
    <w:uiPriority w:val="99"/>
    <w:rPr>
      <w:sz w:val="18"/>
      <w:szCs w:val="18"/>
    </w:rPr>
  </w:style>
  <w:style w:type="character" w:customStyle="1" w:styleId="21">
    <w:name w:val="批注文字 字符"/>
    <w:basedOn w:val="12"/>
    <w:link w:val="2"/>
    <w:semiHidden/>
    <w:qFormat/>
    <w:uiPriority w:val="99"/>
  </w:style>
  <w:style w:type="character" w:customStyle="1" w:styleId="22">
    <w:name w:val="批注主题 字符"/>
    <w:basedOn w:val="21"/>
    <w:link w:val="10"/>
    <w:semiHidden/>
    <w:qFormat/>
    <w:uiPriority w:val="99"/>
    <w:rPr>
      <w:b/>
      <w:bCs/>
    </w:rPr>
  </w:style>
  <w:style w:type="character" w:customStyle="1" w:styleId="23">
    <w:name w:val="line011"/>
    <w:qFormat/>
    <w:uiPriority w:val="0"/>
    <w:rPr>
      <w:rFonts w:hint="default" w:ascii="Arial" w:hAnsi="Arial" w:cs="Aria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31665C5-240A-4CC0-B0B0-F9DD09B2B1E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6</Pages>
  <Words>469</Words>
  <Characters>2678</Characters>
  <Lines>22</Lines>
  <Paragraphs>6</Paragraphs>
  <TotalTime>33</TotalTime>
  <ScaleCrop>false</ScaleCrop>
  <LinksUpToDate>false</LinksUpToDate>
  <CharactersWithSpaces>3141</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2021-11-22T14:47:00Z</dcterms:created>
  <dc:creator>administrator</dc:creator>
  <cp:lastModifiedBy>胡靖凯</cp:lastModifiedBy>
  <cp:lastPrinted>2021-11-23T15:42:00Z</cp:lastPrinted>
  <dcterms:modified xsi:type="dcterms:W3CDTF">2026-06-15T00:15:11Z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13252575C39CA1B48FD32E6A40253387_43</vt:lpwstr>
  </property>
</Properties>
</file>