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E8B868">
      <w:pPr>
        <w:spacing w:line="720" w:lineRule="exact" w:before="240" w:after="240"/>
        <w:jc w:val="center"/>
      </w:pPr>
      <w:bookmarkStart w:id="0" w:name="人工智能教育国际政策比较报告"/>
      <w:r>
        <w:rPr>
          <w:rFonts w:hint="eastAsia" w:ascii="方正小标宋简体" w:hAnsi="方正小标宋简体" w:eastAsia="方正小标宋简体"/>
          <w:b w:val="0"/>
          <w:sz w:val="44"/>
          <w:szCs w:val="44"/>
        </w:rPr>
        <w:t>人工智能+教育国际政策比较报告</w:t>
      </w:r>
    </w:p>
    <w:bookmarkEnd w:id="0"/>
    <w:p w14:paraId="687B836C">
      <w:pPr>
        <w:spacing w:line="560" w:lineRule="exact" w:before="240" w:after="120"/>
      </w:pPr>
      <w:bookmarkStart w:id="1" w:name="第一章-各国治理模式"/>
      <w:r>
        <w:rPr>
          <w:rFonts w:hint="eastAsia" w:ascii="黑体" w:hAnsi="黑体" w:eastAsia="黑体"/>
          <w:b w:val="0"/>
          <w:sz w:val="32"/>
          <w:szCs w:val="32"/>
        </w:rPr>
        <w:t>一、各国治理模式</w:t>
      </w:r>
    </w:p>
    <w:p w14:paraId="51C68302">
      <w:pPr>
        <w:spacing w:line="560" w:lineRule="exact" w:before="0" w:after="0"/>
        <w:ind w:firstLine="320"/>
      </w:pPr>
      <w:r>
        <w:rPr>
          <w:rFonts w:hint="eastAsia" w:ascii="仿宋" w:hAnsi="仿宋" w:eastAsia="仿宋"/>
          <w:b w:val="0"/>
          <w:sz w:val="32"/>
          <w:szCs w:val="32"/>
        </w:rPr>
        <w:t>从政策体系的整体构成与战略定位看，主要国家和经济体在人工智能+教育领域的顶层设计可分为三种类型：专综并进型、总体嵌入型与专项引领型。三者的差别，本质上在于教育人工智能专项文件在国家人工智能总战略中所处的位置之别。</w:t>
      </w:r>
    </w:p>
    <w:p w14:paraId="11C2423D">
      <w:pPr>
        <w:spacing w:line="560" w:lineRule="exact" w:before="120" w:after="60"/>
      </w:pPr>
      <w:r>
        <w:rPr>
          <w:rFonts w:hint="eastAsia" w:ascii="楷体" w:hAnsi="楷体" w:eastAsia="楷体"/>
          <w:b w:val="0"/>
          <w:sz w:val="32"/>
          <w:szCs w:val="32"/>
        </w:rPr>
        <w:t>（一）顶层设计的主要类型</w:t>
      </w:r>
    </w:p>
    <w:p w14:paraId="1CA09D3F">
      <w:pPr>
        <w:spacing w:line="560" w:lineRule="exact" w:before="120" w:after="0"/>
        <w:ind w:firstLine="320"/>
      </w:pPr>
      <w:r>
        <w:rPr>
          <w:rFonts w:hint="eastAsia" w:ascii="仿宋" w:hAnsi="仿宋" w:eastAsia="仿宋"/>
          <w:b/>
          <w:sz w:val="32"/>
          <w:szCs w:val="32"/>
        </w:rPr>
        <w:t>第一类是专综并进型，即既把教育嵌入国家级AI总体战略，又另行出台教育领域的AI专项文件，两者协同推进。</w:t>
      </w:r>
      <w:r>
        <w:rPr>
          <w:rFonts w:hint="eastAsia" w:ascii="仿宋" w:hAnsi="仿宋" w:eastAsia="仿宋"/>
          <w:b w:val="0"/>
          <w:sz w:val="32"/>
          <w:szCs w:val="32"/>
        </w:rPr>
        <w:t>美国是典型代表。2023年5月，美国教育部教育技术办公室发布《人工智能与教与学的未来：见解与建议》（Artificial</w:t>
      </w:r>
      <w:r>
        <w:rPr>
          <w:rFonts w:hint="eastAsia" w:ascii="仿宋" w:hAnsi="仿宋" w:eastAsia="仿宋"/>
          <w:b w:val="0"/>
          <w:sz w:val="32"/>
          <w:szCs w:val="32"/>
        </w:rPr>
        <w:t xml:space="preserve"> Intelligence and the Future of Teaching and Learning: Insights and </w:t>
      </w:r>
      <w:r>
        <w:rPr>
          <w:rFonts w:hint="eastAsia" w:ascii="仿宋" w:hAnsi="仿宋" w:eastAsia="仿宋"/>
          <w:b w:val="0"/>
          <w:sz w:val="32"/>
          <w:szCs w:val="32"/>
        </w:rPr>
        <w:t>Recommendations），提出“以人为本”愿景，强调将教育者置于教学和决策循环的中心，并呼吁针对教育独特性制定合规指南，以应对算法偏见与隐私风险。2025年，总统执行办公室发布《美国人工智能行动计划》（America’s</w:t>
      </w:r>
      <w:r>
        <w:rPr>
          <w:rFonts w:hint="eastAsia" w:ascii="仿宋" w:hAnsi="仿宋" w:eastAsia="仿宋"/>
          <w:b w:val="0"/>
          <w:sz w:val="32"/>
          <w:szCs w:val="32"/>
        </w:rPr>
        <w:t xml:space="preserve"> AI Action </w:t>
      </w:r>
      <w:r>
        <w:rPr>
          <w:rFonts w:hint="eastAsia" w:ascii="仿宋" w:hAnsi="仿宋" w:eastAsia="仿宋"/>
          <w:b w:val="0"/>
          <w:sz w:val="32"/>
          <w:szCs w:val="32"/>
        </w:rPr>
        <w:t>Plan），将教育及劳动力培训作为关键支撑模块嵌入，具体举措包括建立“国家AI劳动力中心”、更新职业技术教育系统，以及扩充面向本科生、研究生和教育工作者的AI研究与培训机会。同年4月，白宫发布《推动美国青年人工智能教育行政令》（Executive</w:t>
      </w:r>
      <w:r>
        <w:rPr>
          <w:rFonts w:hint="eastAsia" w:ascii="仿宋" w:hAnsi="仿宋" w:eastAsia="仿宋"/>
          <w:b w:val="0"/>
          <w:sz w:val="32"/>
          <w:szCs w:val="32"/>
        </w:rPr>
        <w:t xml:space="preserve"> Order on Advancing Artificial Intelligence Education for American </w:t>
      </w:r>
      <w:r>
        <w:rPr>
          <w:rFonts w:hint="eastAsia" w:ascii="仿宋" w:hAnsi="仿宋" w:eastAsia="仿宋"/>
          <w:b w:val="0"/>
          <w:sz w:val="32"/>
          <w:szCs w:val="32"/>
        </w:rPr>
        <w:t>Youth），建立跨部门“白宫AI教育工作组”，要求通过公私合作，开发面向K-12、以基础人工智能素养为重点的在线资源；指示联邦机构优先安排资金，用于教育工作者的人工智能专业发展培训；并支持高中生修读人工智能课程、取得双学分认证。这三份文件由部委指南、跨部门行动计划到总统专项行政令逐级衔接，把人工智能+教育从倡导性愿景推向最高层级的强制执行与资源倾斜。澳大利亚同属此类。2023年，澳大利亚国家学校人工智能特别工作组与教育部联合发布《澳大利亚学校生成式人工智能框架》（Australian</w:t>
      </w:r>
      <w:r>
        <w:rPr>
          <w:rFonts w:hint="eastAsia" w:ascii="仿宋" w:hAnsi="仿宋" w:eastAsia="仿宋"/>
          <w:b w:val="0"/>
          <w:sz w:val="32"/>
          <w:szCs w:val="32"/>
        </w:rPr>
        <w:t xml:space="preserve"> Framework for Generative Artificial Intelligence (AI) in </w:t>
      </w:r>
      <w:r>
        <w:rPr>
          <w:rFonts w:hint="eastAsia" w:ascii="仿宋" w:hAnsi="仿宋" w:eastAsia="仿宋"/>
          <w:b w:val="0"/>
          <w:sz w:val="32"/>
          <w:szCs w:val="32"/>
        </w:rPr>
        <w:t>Schools），确立全澳学校生成式AI使用的六项指导原则，强调AI工具必须尊重和支持教师的专业判断，在确保安全、隐私和公平的前提下促进教与学。2025年，澳大利亚政府在《国家人工智能计划》（National</w:t>
      </w:r>
      <w:r>
        <w:rPr>
          <w:rFonts w:hint="eastAsia" w:ascii="仿宋" w:hAnsi="仿宋" w:eastAsia="仿宋"/>
          <w:b w:val="0"/>
          <w:sz w:val="32"/>
          <w:szCs w:val="32"/>
        </w:rPr>
        <w:t xml:space="preserve"> AI Plan </w:t>
      </w:r>
      <w:r>
        <w:rPr>
          <w:rFonts w:hint="eastAsia" w:ascii="仿宋" w:hAnsi="仿宋" w:eastAsia="仿宋"/>
          <w:b w:val="0"/>
          <w:sz w:val="32"/>
          <w:szCs w:val="32"/>
        </w:rPr>
        <w:t>2025）中明确通过澳大利亚统计局、工作与技能局等国家机构持续监测AI采用情况、技能发展与教育实践，把此前的专项框架纳入国家级统筹监测，形成专项框架与总体战略并行的格局。</w:t>
      </w:r>
      <w:r>
        <w:rPr>
          <w:rFonts w:hint="eastAsia" w:ascii="仿宋" w:hAnsi="仿宋" w:eastAsia="仿宋"/>
          <w:b/>
          <w:sz w:val="32"/>
          <w:szCs w:val="32"/>
        </w:rPr>
        <w:t>两国的共同点在于：专项文件解决教育场景的具体规范，总体战略提供资源与监测的统筹保障，二者互为支撑。</w:t>
      </w:r>
    </w:p>
    <w:p w14:paraId="56CEF9D3">
      <w:pPr>
        <w:spacing w:line="560" w:lineRule="exact" w:before="120" w:after="0"/>
        <w:ind w:firstLine="320"/>
      </w:pPr>
      <w:r>
        <w:rPr>
          <w:rFonts w:hint="eastAsia" w:ascii="仿宋" w:hAnsi="仿宋" w:eastAsia="仿宋"/>
          <w:b/>
          <w:sz w:val="32"/>
          <w:szCs w:val="32"/>
        </w:rPr>
        <w:t>第二类是总体嵌入型，即不单独发布教育人工智能专项文件，而是把教育及人才培养作为核心支柱嵌入国家级AI总体战略，由宏观战略直接驱动教育变革。</w:t>
      </w:r>
      <w:r>
        <w:rPr>
          <w:rFonts w:hint="eastAsia" w:ascii="仿宋" w:hAnsi="仿宋" w:eastAsia="仿宋"/>
          <w:b w:val="0"/>
          <w:sz w:val="32"/>
          <w:szCs w:val="32"/>
        </w:rPr>
        <w:t>欧盟最具代表性。2022年9月，欧盟委员会发布《教育工作者在教与学中使用人工智能和数据的伦理指南》（Ethical</w:t>
      </w:r>
      <w:r>
        <w:rPr>
          <w:rFonts w:hint="eastAsia" w:ascii="仿宋" w:hAnsi="仿宋" w:eastAsia="仿宋"/>
          <w:b w:val="0"/>
          <w:sz w:val="32"/>
          <w:szCs w:val="32"/>
        </w:rPr>
        <w:t xml:space="preserve"> guidelines on the use of artificial intelligence (AI) and data in teaching and learning for </w:t>
      </w:r>
      <w:r>
        <w:rPr>
          <w:rFonts w:hint="eastAsia" w:ascii="仿宋" w:hAnsi="仿宋" w:eastAsia="仿宋"/>
          <w:b w:val="0"/>
          <w:sz w:val="32"/>
          <w:szCs w:val="32"/>
        </w:rPr>
        <w:t>educators），作为《数字教育行动计划》的配套文件，为教育者提供涵盖人类代理、透明度、非歧视、隐私和数据治理等可信AI关键要求的评估框架。2025年，欧盟委员会推出三份横向战略，把教育嵌入整体布局：《欧盟人工智能大陆行动计划》（EU</w:t>
      </w:r>
      <w:r>
        <w:rPr>
          <w:rFonts w:hint="eastAsia" w:ascii="仿宋" w:hAnsi="仿宋" w:eastAsia="仿宋"/>
          <w:b w:val="0"/>
          <w:sz w:val="32"/>
          <w:szCs w:val="32"/>
        </w:rPr>
        <w:t xml:space="preserve"> AI Continent Action Plan </w:t>
      </w:r>
      <w:r>
        <w:rPr>
          <w:rFonts w:hint="eastAsia" w:ascii="仿宋" w:hAnsi="仿宋" w:eastAsia="仿宋"/>
          <w:b w:val="0"/>
          <w:sz w:val="32"/>
          <w:szCs w:val="32"/>
        </w:rPr>
        <w:t>2025）启动“人工智能技能学院”，扩大关键技术领域学士、硕士和博士学位供给，推出AI学徒计划及面向女性专业人士的重返职场计划；《欧盟应用人工智能战略》（EU</w:t>
      </w:r>
      <w:r>
        <w:rPr>
          <w:rFonts w:hint="eastAsia" w:ascii="仿宋" w:hAnsi="仿宋" w:eastAsia="仿宋"/>
          <w:b w:val="0"/>
          <w:sz w:val="32"/>
          <w:szCs w:val="32"/>
        </w:rPr>
        <w:t xml:space="preserve"> Applied AI Strategy </w:t>
      </w:r>
      <w:r>
        <w:rPr>
          <w:rFonts w:hint="eastAsia" w:ascii="仿宋" w:hAnsi="仿宋" w:eastAsia="仿宋"/>
          <w:b w:val="0"/>
          <w:sz w:val="32"/>
          <w:szCs w:val="32"/>
        </w:rPr>
        <w:t>2025）强调加速公共管理部门采用生成式AI并聚焦教育领域，通过Erasmus+项目促进教育科技伦理设计与实践支持；《欧盟人工智能科学战略》（A</w:t>
      </w:r>
      <w:r>
        <w:rPr>
          <w:rFonts w:hint="eastAsia" w:ascii="仿宋" w:hAnsi="仿宋" w:eastAsia="仿宋"/>
          <w:b w:val="0"/>
          <w:sz w:val="32"/>
          <w:szCs w:val="32"/>
        </w:rPr>
        <w:t xml:space="preserve"> European Strategy for Artificial Intelligence in </w:t>
      </w:r>
      <w:r>
        <w:rPr>
          <w:rFonts w:hint="eastAsia" w:ascii="仿宋" w:hAnsi="仿宋" w:eastAsia="仿宋"/>
          <w:b w:val="0"/>
          <w:sz w:val="32"/>
          <w:szCs w:val="32"/>
        </w:rPr>
        <w:t>Science）着力扩大具备AI知识的科学人才库，资助“AI与科学博士网络”培养交叉人才。这些战略把AI人才培养与教育规模化部署融入超主权顶层规划，而未另设独立的教育人工智能总纲。英国也属此类。2021年9月，英国政府与人工智能办公室发布《国家人工智能战略》（National</w:t>
      </w:r>
      <w:r>
        <w:rPr>
          <w:rFonts w:hint="eastAsia" w:ascii="仿宋" w:hAnsi="仿宋" w:eastAsia="仿宋"/>
          <w:b w:val="0"/>
          <w:sz w:val="32"/>
          <w:szCs w:val="32"/>
        </w:rPr>
        <w:t xml:space="preserve"> AI </w:t>
      </w:r>
      <w:r>
        <w:rPr>
          <w:rFonts w:hint="eastAsia" w:ascii="仿宋" w:hAnsi="仿宋" w:eastAsia="仿宋"/>
          <w:b w:val="0"/>
          <w:sz w:val="32"/>
          <w:szCs w:val="32"/>
        </w:rPr>
        <w:t>Strategy），将投资AI生态系统长期需求（含人才与技能）列为首要支柱，支持国家计算教育中心（NCCE）普及中小学AI项目，并推出AI与数据科学硕士转换课程与奖学金。2025年1月，科学、创新和技术部发布《人工智能机遇行动计划》（AI</w:t>
      </w:r>
      <w:r>
        <w:rPr>
          <w:rFonts w:hint="eastAsia" w:ascii="仿宋" w:hAnsi="仿宋" w:eastAsia="仿宋"/>
          <w:b w:val="0"/>
          <w:sz w:val="32"/>
          <w:szCs w:val="32"/>
        </w:rPr>
        <w:t xml:space="preserve"> Opportunities Action </w:t>
      </w:r>
      <w:r>
        <w:rPr>
          <w:rFonts w:hint="eastAsia" w:ascii="仿宋" w:hAnsi="仿宋" w:eastAsia="仿宋"/>
          <w:b w:val="0"/>
          <w:sz w:val="32"/>
          <w:szCs w:val="32"/>
        </w:rPr>
        <w:t>Plan），提出在公共部门采用“扫描—试点—扩展”的敏捷路径，并支持教育部试点推广准确率达92%的生成式AI辅助批改工具，以减轻教师负担。英国未单独制定教育AI专项战略，而是把教育作为实现AI全球领导力的核心能力模块嵌入总体框架。韩国同样如此。2019年，韩国科学技术信息通信部发布《国家人工智能战略》（National</w:t>
      </w:r>
      <w:r>
        <w:rPr>
          <w:rFonts w:hint="eastAsia" w:ascii="仿宋" w:hAnsi="仿宋" w:eastAsia="仿宋"/>
          <w:b w:val="0"/>
          <w:sz w:val="32"/>
          <w:szCs w:val="32"/>
        </w:rPr>
        <w:t xml:space="preserve"> Strategy for Artificial </w:t>
      </w:r>
      <w:r>
        <w:rPr>
          <w:rFonts w:hint="eastAsia" w:ascii="仿宋" w:hAnsi="仿宋" w:eastAsia="仿宋"/>
          <w:b w:val="0"/>
          <w:sz w:val="32"/>
          <w:szCs w:val="32"/>
        </w:rPr>
        <w:t>Intelligence），确立面向公众、从业者、AI专业人员及顶尖人才四类群体的能力培养体系，在中小学普及计算思维与AI课程，设立“AI中心学校”，并修改师范院校资格标准将AI课程纳入其中。韩国的教育人工智能蓝图完全由国家AI战略承载，未单独出台专项文件。</w:t>
      </w:r>
      <w:r>
        <w:rPr>
          <w:rFonts w:hint="eastAsia" w:ascii="仿宋" w:hAnsi="仿宋" w:eastAsia="仿宋"/>
          <w:b/>
          <w:sz w:val="32"/>
          <w:szCs w:val="32"/>
        </w:rPr>
        <w:t>这一类型的共性在于：教育不另立门户，而是作为国家AI战略实现产业竞争力与全球领导力的关键变量被直接承载。</w:t>
      </w:r>
    </w:p>
    <w:p w14:paraId="296A3D86">
      <w:pPr>
        <w:spacing w:line="560" w:lineRule="exact" w:before="120" w:after="0"/>
        <w:ind w:firstLine="320"/>
      </w:pPr>
      <w:r>
        <w:rPr>
          <w:rFonts w:hint="eastAsia" w:ascii="仿宋" w:hAnsi="仿宋" w:eastAsia="仿宋"/>
          <w:b/>
          <w:sz w:val="32"/>
          <w:szCs w:val="32"/>
        </w:rPr>
        <w:t>第三类是专项引领型，即在尚无国家级AI宏观战略、或战略未突出教育要素时，由教育主管部门率先出台专门的AI教育指南、框架或课程规划，使其成为该领域事实上的顶层设计。</w:t>
      </w:r>
      <w:r>
        <w:rPr>
          <w:rFonts w:hint="eastAsia" w:ascii="仿宋" w:hAnsi="仿宋" w:eastAsia="仿宋"/>
          <w:b w:val="0"/>
          <w:sz w:val="32"/>
          <w:szCs w:val="32"/>
        </w:rPr>
        <w:t>日本是典型代表。2024年12月，文部科学省初等中等教育局发布《初等中等教育阶段生成式人工智能利活用指南》（2.0版）（Guidelines</w:t>
      </w:r>
      <w:r>
        <w:rPr>
          <w:rFonts w:hint="eastAsia" w:ascii="仿宋" w:hAnsi="仿宋" w:eastAsia="仿宋"/>
          <w:b w:val="0"/>
          <w:sz w:val="32"/>
          <w:szCs w:val="32"/>
        </w:rPr>
        <w:t xml:space="preserve"> for the Utilization of Generative AI in Elementary and Secondary Education </w:t>
      </w:r>
      <w:r>
        <w:rPr>
          <w:rFonts w:hint="eastAsia" w:ascii="仿宋" w:hAnsi="仿宋" w:eastAsia="仿宋"/>
          <w:b w:val="0"/>
          <w:sz w:val="32"/>
          <w:szCs w:val="32"/>
        </w:rPr>
        <w:t>Steps），在现行《学习指导要领》培养“信息活用能力”的框架下，界定了教师在校务减负中的适用场景，以及学生将生成式AI作为探索辅助工具的红绿线，严禁直接抄袭AI成果导致认知退化，并配套数据隐私与事实核查要求。在没有国家级AI总纲的情况下，这份持续迭代的专项指南为学校现场操作提供了全面规范。阿联酋也属此类。阿联酋教育部于2016年初设、2020年修订《计算、创意设计与创新课程》（Computing,</w:t>
      </w:r>
      <w:r>
        <w:rPr>
          <w:rFonts w:hint="eastAsia" w:ascii="仿宋" w:hAnsi="仿宋" w:eastAsia="仿宋"/>
          <w:b w:val="0"/>
          <w:sz w:val="32"/>
          <w:szCs w:val="32"/>
        </w:rPr>
        <w:t xml:space="preserve"> Creative Design and Innovation </w:t>
      </w:r>
      <w:r>
        <w:rPr>
          <w:rFonts w:hint="eastAsia" w:ascii="仿宋" w:hAnsi="仿宋" w:eastAsia="仿宋"/>
          <w:b w:val="0"/>
          <w:sz w:val="32"/>
          <w:szCs w:val="32"/>
        </w:rPr>
        <w:t>curriculum），在K-12阶段采用跨学科方法，将人工智能整合进涵盖计算机科学、工程原理系统、设计创新、可持续发展和视觉传达的核心课程体系。阿联酋在国家层面对人工智能抱有宏大愿景，但就教育领域而言，当前可见的顶层设计主要</w:t>
      </w:r>
      <w:bookmarkStart w:id="5" w:name="_GoBack"/>
      <w:bookmarkEnd w:id="5"/>
      <w:r>
        <w:rPr>
          <w:rFonts w:hint="eastAsia" w:ascii="仿宋" w:hAnsi="仿宋" w:eastAsia="仿宋"/>
          <w:b w:val="0"/>
          <w:sz w:val="32"/>
          <w:szCs w:val="32"/>
        </w:rPr>
        <w:t>是这一专项课程规划，以课程改革为先行抓手推动AI素养在基础教育中扎根。</w:t>
      </w:r>
      <w:r>
        <w:rPr>
          <w:rFonts w:hint="eastAsia" w:ascii="仿宋" w:hAnsi="仿宋" w:eastAsia="仿宋"/>
          <w:b/>
          <w:sz w:val="32"/>
          <w:szCs w:val="32"/>
        </w:rPr>
        <w:t>这一类型表明：在国家战略尚未成形时，教育部门可借课程或指南先行卡位，以专项文件填补顶层空白。</w:t>
      </w:r>
    </w:p>
    <w:p w14:paraId="79E863FF">
      <w:pPr>
        <w:spacing w:line="560" w:lineRule="exact" w:before="120" w:after="60"/>
      </w:pPr>
      <w:bookmarkStart w:id="2" w:name="教育主体性保障与能力发展机制"/>
      <w:r>
        <w:rPr>
          <w:rFonts w:hint="eastAsia" w:ascii="楷体" w:hAnsi="楷体" w:eastAsia="楷体"/>
          <w:b w:val="0"/>
          <w:sz w:val="32"/>
          <w:szCs w:val="32"/>
        </w:rPr>
        <w:t>（二）教育主体性保障与能力发展机制</w:t>
      </w:r>
    </w:p>
    <w:p w14:paraId="56264BF5">
      <w:pPr>
        <w:spacing w:line="560" w:lineRule="exact" w:before="0" w:after="0"/>
        <w:ind w:firstLine="320"/>
      </w:pPr>
      <w:r>
        <w:rPr>
          <w:rFonts w:hint="eastAsia" w:ascii="仿宋" w:hAnsi="仿宋" w:eastAsia="仿宋"/>
          <w:b w:val="0"/>
          <w:sz w:val="32"/>
          <w:szCs w:val="32"/>
        </w:rPr>
        <w:t>随着生成式人工智能加速涌入教育场景，其对“教”与“学”核心关系中人的主体地位的侵蚀风险，已成为全球教育治理中一个必须直面的重大议题。与医疗、产业等领域不同，教育须直面AI对师生认知发展、专业自主权及人类问责制的挑战。主要发达经济体和国际组织普遍把“维护人类代理（Human</w:t>
      </w:r>
      <w:r>
        <w:rPr>
          <w:rFonts w:hint="eastAsia" w:ascii="仿宋" w:hAnsi="仿宋" w:eastAsia="仿宋"/>
          <w:b w:val="0"/>
          <w:sz w:val="32"/>
          <w:szCs w:val="32"/>
        </w:rPr>
        <w:t xml:space="preserve"> </w:t>
      </w:r>
      <w:r>
        <w:rPr>
          <w:rFonts w:hint="eastAsia" w:ascii="仿宋" w:hAnsi="仿宋" w:eastAsia="仿宋"/>
          <w:b w:val="0"/>
          <w:sz w:val="32"/>
          <w:szCs w:val="32"/>
        </w:rPr>
        <w:t>Agency）、强化人在回路（Human-in-the-loop）”确立为不可逾越的红线，并通过机制化的保障体系，确保技术服务于人的能力发展而非削弱人的主体性。各方做法可归为以下四类。</w:t>
      </w:r>
    </w:p>
    <w:p w14:paraId="4BB4EA43">
      <w:pPr>
        <w:spacing w:line="560" w:lineRule="exact" w:before="120" w:after="0"/>
        <w:ind w:firstLine="320"/>
      </w:pPr>
      <w:r>
        <w:rPr>
          <w:rFonts w:hint="eastAsia" w:ascii="仿宋" w:hAnsi="仿宋" w:eastAsia="仿宋"/>
          <w:b/>
          <w:sz w:val="32"/>
          <w:szCs w:val="32"/>
        </w:rPr>
        <w:t>一是确立“人类代理与人在回路”的问责机制。</w:t>
      </w:r>
      <w:r>
        <w:rPr>
          <w:rFonts w:hint="eastAsia" w:ascii="仿宋" w:hAnsi="仿宋" w:eastAsia="仿宋"/>
          <w:b w:val="0"/>
          <w:sz w:val="32"/>
          <w:szCs w:val="32"/>
        </w:rPr>
        <w:t>各国普遍要求，在教学决策、学习评估及学生发展等高风险环节，由人类保留最终的控制权与干预权，防止技术系统篡夺人的判断。欧盟委员会在2022年发布的《教育工作者在教学与学习中使用人工智能和数据的伦理准则》（Ethical</w:t>
      </w:r>
      <w:r>
        <w:rPr>
          <w:rFonts w:hint="eastAsia" w:ascii="仿宋" w:hAnsi="仿宋" w:eastAsia="仿宋"/>
          <w:b w:val="0"/>
          <w:sz w:val="32"/>
          <w:szCs w:val="32"/>
        </w:rPr>
        <w:t xml:space="preserve"> Guidelines on the Use of Artificial Intelligence and Data in Teaching and Learning for </w:t>
      </w:r>
      <w:r>
        <w:rPr>
          <w:rFonts w:hint="eastAsia" w:ascii="仿宋" w:hAnsi="仿宋" w:eastAsia="仿宋"/>
          <w:b w:val="0"/>
          <w:sz w:val="32"/>
          <w:szCs w:val="32"/>
        </w:rPr>
        <w:t>Educators）中，要求学校建立监控系统，防止师生对AI系统过度依赖，并界定必须确保“教师在回路”（teacher</w:t>
      </w:r>
      <w:r>
        <w:rPr>
          <w:rFonts w:hint="eastAsia" w:ascii="仿宋" w:hAnsi="仿宋" w:eastAsia="仿宋"/>
          <w:b w:val="0"/>
          <w:sz w:val="32"/>
          <w:szCs w:val="32"/>
        </w:rPr>
        <w:t xml:space="preserve"> in the </w:t>
      </w:r>
      <w:r>
        <w:rPr>
          <w:rFonts w:hint="eastAsia" w:ascii="仿宋" w:hAnsi="仿宋" w:eastAsia="仿宋"/>
          <w:b w:val="0"/>
          <w:sz w:val="32"/>
          <w:szCs w:val="32"/>
        </w:rPr>
        <w:t>loop），使教师能随时干预。联合国教科文组织（UNESCO）在2024年发布的《教师人工智能能力框架》（AI</w:t>
      </w:r>
      <w:r>
        <w:rPr>
          <w:rFonts w:hint="eastAsia" w:ascii="仿宋" w:hAnsi="仿宋" w:eastAsia="仿宋"/>
          <w:b w:val="0"/>
          <w:sz w:val="32"/>
          <w:szCs w:val="32"/>
        </w:rPr>
        <w:t xml:space="preserve"> Competency Framework for </w:t>
      </w:r>
      <w:r>
        <w:rPr>
          <w:rFonts w:hint="eastAsia" w:ascii="仿宋" w:hAnsi="仿宋" w:eastAsia="仿宋"/>
          <w:b w:val="0"/>
          <w:sz w:val="32"/>
          <w:szCs w:val="32"/>
        </w:rPr>
        <w:t>Teachers）中进一步强调，教师的中心地位与问责制不可被AI篡夺，必须抵制用AI输出替代教师的决策以及学生的思考与知识建构。美国教育部教育技术办公室在2023年发布的《人工智能与教学的未来》（Artificial</w:t>
      </w:r>
      <w:r>
        <w:rPr>
          <w:rFonts w:hint="eastAsia" w:ascii="仿宋" w:hAnsi="仿宋" w:eastAsia="仿宋"/>
          <w:b w:val="0"/>
          <w:sz w:val="32"/>
          <w:szCs w:val="32"/>
        </w:rPr>
        <w:t xml:space="preserve"> Intelligence and the Future of Teaching and </w:t>
      </w:r>
      <w:r>
        <w:rPr>
          <w:rFonts w:hint="eastAsia" w:ascii="仿宋" w:hAnsi="仿宋" w:eastAsia="仿宋"/>
          <w:b w:val="0"/>
          <w:sz w:val="32"/>
          <w:szCs w:val="32"/>
        </w:rPr>
        <w:t>Learning）报告中，把这一要求具体化为AI系统必须“可检查、可解释、可否决（Inspectable,</w:t>
      </w:r>
      <w:r>
        <w:rPr>
          <w:rFonts w:hint="eastAsia" w:ascii="仿宋" w:hAnsi="仿宋" w:eastAsia="仿宋"/>
          <w:b w:val="0"/>
          <w:sz w:val="32"/>
          <w:szCs w:val="32"/>
        </w:rPr>
        <w:t xml:space="preserve"> Explainable, </w:t>
      </w:r>
      <w:r>
        <w:rPr>
          <w:rFonts w:hint="eastAsia" w:ascii="仿宋" w:hAnsi="仿宋" w:eastAsia="仿宋"/>
          <w:b w:val="0"/>
          <w:sz w:val="32"/>
          <w:szCs w:val="32"/>
        </w:rPr>
        <w:t>Overridable）”，当AI建议不符合教育目标时，教师有权且获得支持去否决其决定。可见，各方均把“人对机器的最终否决权”作为AI进入高风险教育环节的前置条件。</w:t>
      </w:r>
    </w:p>
    <w:p w14:paraId="1E4A77B3">
      <w:pPr>
        <w:spacing w:line="560" w:lineRule="exact" w:before="120" w:after="0"/>
        <w:ind w:firstLine="320"/>
      </w:pPr>
      <w:r>
        <w:rPr>
          <w:rFonts w:hint="eastAsia" w:ascii="仿宋" w:hAnsi="仿宋" w:eastAsia="仿宋"/>
          <w:b/>
          <w:sz w:val="32"/>
          <w:szCs w:val="32"/>
        </w:rPr>
        <w:t>二是凸显教师角色不可替代、防范其专业地位消解。</w:t>
      </w:r>
      <w:r>
        <w:rPr>
          <w:rFonts w:hint="eastAsia" w:ascii="仿宋" w:hAnsi="仿宋" w:eastAsia="仿宋"/>
          <w:b w:val="0"/>
          <w:sz w:val="32"/>
          <w:szCs w:val="32"/>
        </w:rPr>
        <w:t>面对AI可能引发的“去专业化”风险，各国政策指向同一共识：教育是人格互动的过程，教师作为学习专业人员的角色在AI时代更为重要，而非被边缘化。日本文部科学省在2024年发布的《初等中等教育阶段生成式AI利活用指南》中指出，教育通过教师与学生之间的人格接触进行，教师精细观察与支援的角色将比以往更重要。联合国儿童基金会（UNICEF）在2025年发布的《人工智能与儿童权利指南》（Guidance</w:t>
      </w:r>
      <w:r>
        <w:rPr>
          <w:rFonts w:hint="eastAsia" w:ascii="仿宋" w:hAnsi="仿宋" w:eastAsia="仿宋"/>
          <w:b w:val="0"/>
          <w:sz w:val="32"/>
          <w:szCs w:val="32"/>
        </w:rPr>
        <w:t xml:space="preserve"> on AI and Child </w:t>
      </w:r>
      <w:r>
        <w:rPr>
          <w:rFonts w:hint="eastAsia" w:ascii="仿宋" w:hAnsi="仿宋" w:eastAsia="仿宋"/>
          <w:b w:val="0"/>
          <w:sz w:val="32"/>
          <w:szCs w:val="32"/>
        </w:rPr>
        <w:t>Rights）中强调，“教师是教育系统的面孔”，引入生成式AI时必须把教师置于中心而非替代他们。UNESCO在《教师人工智能能力框架》中警告，若公立机构过度依赖科技企业提供AI课程，易导致“公立AI教师的去专业化（de-professionalization）”，并呼吁保障AI学科教师享有与其他核心学科教师同等的专业地位。各方的共同落点，是把维护教师专业地位写入制度，以对冲技术替代带来的去专业化压力。</w:t>
      </w:r>
    </w:p>
    <w:p w14:paraId="79672061">
      <w:pPr>
        <w:spacing w:line="560" w:lineRule="exact" w:before="120" w:after="0"/>
        <w:ind w:firstLine="320"/>
      </w:pPr>
      <w:r>
        <w:rPr>
          <w:rFonts w:hint="eastAsia" w:ascii="仿宋" w:hAnsi="仿宋" w:eastAsia="仿宋"/>
          <w:b/>
          <w:sz w:val="32"/>
          <w:szCs w:val="32"/>
        </w:rPr>
        <w:t>三是防范认知与智力发展退化、把AI导向能力赋权。</w:t>
      </w:r>
      <w:r>
        <w:rPr>
          <w:rFonts w:hint="eastAsia" w:ascii="仿宋" w:hAnsi="仿宋" w:eastAsia="仿宋"/>
          <w:b w:val="0"/>
          <w:sz w:val="32"/>
          <w:szCs w:val="32"/>
        </w:rPr>
        <w:t>各国普遍警惕，若缺乏教学法引导，学生盲信AI答案会导致“必要的学习过程被省略”，削弱智力发展；政策着力点正从单纯的信息获取转向保障深度思考。日本文部科学省的上述指南警告，在未意识到学习目的时轻易引入AI，可能使学习过程脱离素养与能力培育。UNESCO在2024年发布的《学生人工智能能力框架》（AI</w:t>
      </w:r>
      <w:r>
        <w:rPr>
          <w:rFonts w:hint="eastAsia" w:ascii="仿宋" w:hAnsi="仿宋" w:eastAsia="仿宋"/>
          <w:b w:val="0"/>
          <w:sz w:val="32"/>
          <w:szCs w:val="32"/>
        </w:rPr>
        <w:t xml:space="preserve"> Competency Framework for </w:t>
      </w:r>
      <w:r>
        <w:rPr>
          <w:rFonts w:hint="eastAsia" w:ascii="仿宋" w:hAnsi="仿宋" w:eastAsia="仿宋"/>
          <w:b w:val="0"/>
          <w:sz w:val="32"/>
          <w:szCs w:val="32"/>
        </w:rPr>
        <w:t>Students）中，引导学生认识到AI不能取代人类思考，并讨论直接提交AI生成论文对智力发展的危害。该组织在《教师人工智能能力框架》中也指出，教师必须具备批判能力以防止AI破坏人类主体性，并推动AI应用超越提供标准答案、转向丰富探究与能力赋权。三方的一致取向，是把AI从“替学生作答”转为“促学生思考”的工具。</w:t>
      </w:r>
    </w:p>
    <w:p w14:paraId="6CFEC7EC">
      <w:pPr>
        <w:spacing w:line="560" w:lineRule="exact" w:before="120" w:after="0"/>
        <w:ind w:firstLine="320"/>
      </w:pPr>
      <w:r>
        <w:rPr>
          <w:rFonts w:hint="eastAsia" w:ascii="仿宋" w:hAnsi="仿宋" w:eastAsia="仿宋"/>
          <w:b/>
          <w:sz w:val="32"/>
          <w:szCs w:val="32"/>
        </w:rPr>
        <w:t>四是坚持“智能增强”的技术设计导向与人类问责。</w:t>
      </w:r>
      <w:r>
        <w:rPr>
          <w:rFonts w:hint="eastAsia" w:ascii="仿宋" w:hAnsi="仿宋" w:eastAsia="仿宋"/>
          <w:b w:val="0"/>
          <w:sz w:val="32"/>
          <w:szCs w:val="32"/>
        </w:rPr>
        <w:t>在应用路径上，主要国家正推动从“人工智能（AI）”转向“智能增强（Intelligence</w:t>
      </w:r>
      <w:r>
        <w:rPr>
          <w:rFonts w:hint="eastAsia" w:ascii="仿宋" w:hAnsi="仿宋" w:eastAsia="仿宋"/>
          <w:b w:val="0"/>
          <w:sz w:val="32"/>
          <w:szCs w:val="32"/>
        </w:rPr>
        <w:t xml:space="preserve"> Augmentation, </w:t>
      </w:r>
      <w:r>
        <w:rPr>
          <w:rFonts w:hint="eastAsia" w:ascii="仿宋" w:hAnsi="仿宋" w:eastAsia="仿宋"/>
          <w:b w:val="0"/>
          <w:sz w:val="32"/>
          <w:szCs w:val="32"/>
        </w:rPr>
        <w:t>IA）”的范式转换，通过任务分配让人类聚焦创造力、同理心和判断力等高阶领域。美国教育部在2023年报告中提出，技术设计应侧重“智能增强（IA）”，利用AI辅助而非自动化排除人类的认知与决策。经济合作与发展组织（OECD）、欧盟委员会与Code.org在2025年联合发布的《人工智能素养框架》（AI</w:t>
      </w:r>
      <w:r>
        <w:rPr>
          <w:rFonts w:hint="eastAsia" w:ascii="仿宋" w:hAnsi="仿宋" w:eastAsia="仿宋"/>
          <w:b w:val="0"/>
          <w:sz w:val="32"/>
          <w:szCs w:val="32"/>
        </w:rPr>
        <w:t xml:space="preserve"> Literacy </w:t>
      </w:r>
      <w:r>
        <w:rPr>
          <w:rFonts w:hint="eastAsia" w:ascii="仿宋" w:hAnsi="仿宋" w:eastAsia="仿宋"/>
          <w:b w:val="0"/>
          <w:sz w:val="32"/>
          <w:szCs w:val="32"/>
        </w:rPr>
        <w:t>Framework）中指出，“管理AI”意味着有意把结构化任务分配给AI，使人类聚焦于需要“创造力、同理心和判断力”的领域，并要求学习者在让AI支持创意过程的同时，始终对最终内容保持人类问责（accountable）。UNESCO在《学生人工智能能力框架》中要求学生理解为何不应在高风险决策（如评估学生资质、大学录取）中用AI替代人类，因为这类决策涉及对价值观的评估和情感的推断，须保留人类的最终判断。综观四类做法，其内在逻辑一致：以制度划定AI的能力边界，让技术增强而非取代人的主体地位。</w:t>
      </w:r>
    </w:p>
    <w:bookmarkEnd w:id="1"/>
    <w:bookmarkEnd w:id="2"/>
    <w:p w14:paraId="2DFAD36D">
      <w:pPr>
        <w:spacing w:line="560" w:lineRule="exact" w:before="240" w:after="120"/>
      </w:pPr>
      <w:bookmarkStart w:id="3" w:name="第二章-人工智能能力培育"/>
      <w:r>
        <w:rPr>
          <w:rFonts w:hint="eastAsia" w:ascii="黑体" w:hAnsi="黑体" w:eastAsia="黑体"/>
          <w:b w:val="0"/>
          <w:sz w:val="32"/>
          <w:szCs w:val="32"/>
        </w:rPr>
        <w:t>二、人工智能能力培育</w:t>
      </w:r>
    </w:p>
    <w:p w14:paraId="0958E722">
      <w:pPr>
        <w:spacing w:line="560" w:lineRule="exact" w:before="0" w:after="0"/>
        <w:ind w:firstLine="320"/>
      </w:pPr>
      <w:r>
        <w:rPr>
          <w:rFonts w:hint="eastAsia" w:ascii="仿宋" w:hAnsi="仿宋" w:eastAsia="仿宋"/>
          <w:b w:val="0"/>
          <w:sz w:val="32"/>
          <w:szCs w:val="32"/>
        </w:rPr>
        <w:t>本章从能力目标分层、课程承载与教师制度协同三个维度，比较各国人工智能能力培育的实现路径。</w:t>
      </w:r>
    </w:p>
    <w:p w14:paraId="4E281563">
      <w:pPr>
        <w:spacing w:line="560" w:lineRule="exact" w:before="120" w:after="0"/>
        <w:ind w:firstLine="320"/>
      </w:pPr>
      <w:r>
        <w:rPr>
          <w:rFonts w:hint="eastAsia" w:ascii="仿宋" w:hAnsi="仿宋" w:eastAsia="仿宋"/>
          <w:b/>
          <w:sz w:val="32"/>
          <w:szCs w:val="32"/>
        </w:rPr>
        <w:t>一是构建分层分类、衔接贯通的AI能力培育目标体系，覆盖从全民素养到拔尖创新的各层次需求。</w:t>
      </w:r>
      <w:r>
        <w:rPr>
          <w:rFonts w:hint="eastAsia" w:ascii="仿宋" w:hAnsi="仿宋" w:eastAsia="仿宋"/>
          <w:b w:val="0"/>
          <w:sz w:val="32"/>
          <w:szCs w:val="32"/>
        </w:rPr>
        <w:t xml:space="preserve"> </w:t>
      </w:r>
      <w:r>
        <w:rPr>
          <w:rFonts w:hint="eastAsia" w:ascii="仿宋" w:hAnsi="仿宋" w:eastAsia="仿宋"/>
          <w:b w:val="0"/>
          <w:sz w:val="32"/>
          <w:szCs w:val="32"/>
        </w:rPr>
        <w:t>各国普遍按发展需求把AI能力分解为多层级目标，并建立覆盖基础教育、高等教育、职业培训与终身学习的纵向衔接通道。欧盟通过启动“人工智能技能学院”扩大AI及相关领域的学士、硕士和博士学位供给，依托“玛丽·居里行动博士网络”资助具有AI内涵的研究培训，并推出面向女性专业人士的“重返职场计划”，扩充多层次人才蓄水池。美国白宫行政令确立从教育最早阶段直至中学后教育全面学习人工智能的目标，把“AI就绪”劳动力与创新者培育作为核心产出，并设立“国家AI劳动力中心”，负责定期生成劳动力情景规划，为教育政策提供依据。韩国针对公众、AI从业者、AI专业人员、顶尖AI人才四类对象分别界定能力需求与培育策略，在小学低年级提供AI体验教育，在中学设立“AI中心学校”教授高级课程，形成“体验—基础—高阶”的递进设计。英国在职业指导平台上为有意从事AI开发或应用的人员提供清晰的职业路径说明，并持续支持博士和硕士层面的顶尖人才培养，以“培训、留住和吸引下一代人工智能科学家和创始人”为国家人才目标。UNESCO发布的学生AI能力框架把能力进阶划为“理解、应用、创造”三个水平，要求把学生从负责任的用户逐步培育为包容性AI的共同创造者；其教师AI能力框架同样划分“获取、深化、创造”三个掌握层级，贯穿以人为本、AI伦理、AI基础与应用、AI教学法、AI促进专业发展五个维度。这些举措显示各国在“全民普及”与“拔尖选拔”之间侧重不同：美、英更强调通过全学段布局服务产业竞争与创新引领，日、韩重在把AI素养嵌入国民基础教育基底，欧盟与联合国系统则着力构建可跨国参照的能力标准与伦理框架。</w:t>
      </w:r>
    </w:p>
    <w:p w14:paraId="603D6421">
      <w:pPr>
        <w:spacing w:line="560" w:lineRule="exact" w:before="120" w:after="0"/>
        <w:ind w:firstLine="320"/>
      </w:pPr>
      <w:r>
        <w:rPr>
          <w:rFonts w:hint="eastAsia" w:ascii="仿宋" w:hAnsi="仿宋" w:eastAsia="仿宋"/>
          <w:b/>
          <w:sz w:val="32"/>
          <w:szCs w:val="32"/>
        </w:rPr>
        <w:t>二是以课程体系重构为核心，形成独立设科、跨学科融合与弹性框架并存的多元实现路径。</w:t>
      </w:r>
      <w:r>
        <w:rPr>
          <w:rFonts w:hint="eastAsia" w:ascii="仿宋" w:hAnsi="仿宋" w:eastAsia="仿宋"/>
          <w:b w:val="0"/>
          <w:sz w:val="32"/>
          <w:szCs w:val="32"/>
        </w:rPr>
        <w:t xml:space="preserve"> </w:t>
      </w:r>
      <w:r>
        <w:rPr>
          <w:rFonts w:hint="eastAsia" w:ascii="仿宋" w:hAnsi="仿宋" w:eastAsia="仿宋"/>
          <w:b w:val="0"/>
          <w:sz w:val="32"/>
          <w:szCs w:val="32"/>
        </w:rPr>
        <w:t>各国依据自身教育治理传统，采用刚性不同的课程组织形态把目标落地。日本把AI能力培育嵌入现行《学习指导要领》的“信息活用能力”体系，要求各学科横向培养学生理解AI的社会运作机制，并在解决问题时把生成式AI作为工具熟练使用，例如在英语学习中利用AI辅助修正发音与表达，在信息课程中通过优化提示词让AI辅助生成程序代码，还专门用AI生成“包含错误的回答”作为教材，锻炼学生事实核查与信息批判能力。阿联酋在K-12教育中采用跨学科路径，把人工智能教学目标融入“计算、创意设计与创新”核心课程，该体系涵盖计算机科学、工程原理、设计创新、可持续发展与视觉传达等关联领域。美国既倡导开发面向K-12学生的在线资源教授基础AI素养和批判性思维，又专门为计算机科学教师提供教授AI独立课程的专业发展支持，呈现融合渗透与独立设科并存的特征。UNESCO倡导学生通过项目式学习掌握AI底层技术，包括运用AI编程语言清洗与编码数据、修改开源数据集、训练机器学习模型及测试应用性能，既可设为独立课程，也可融入跨学科探究。OECD联合欧盟委员会等机构发布的AI素养框架提出“提示词工程”“任务分解与分配”及“设计AI”等具体能力，不规定特定课程形式，供各国弹性参考。这些路径差异反映不同教育体系的结构韧性：日本、阿联酋把AI能力融入现有科目群与核心素养框架，美国在融合与独立之间提供资源引导，联合国系统则倾向通过全球框架赋予各国自主选择空间。</w:t>
      </w:r>
    </w:p>
    <w:p w14:paraId="2CD90A86">
      <w:pPr>
        <w:spacing w:line="560" w:lineRule="exact" w:before="120" w:after="0"/>
        <w:ind w:firstLine="320"/>
      </w:pPr>
      <w:r>
        <w:rPr>
          <w:rFonts w:hint="eastAsia" w:ascii="仿宋" w:hAnsi="仿宋" w:eastAsia="仿宋"/>
          <w:b/>
          <w:sz w:val="32"/>
          <w:szCs w:val="32"/>
        </w:rPr>
        <w:t>三是教师能力建设从临时性培训向强制性资格认证和职前改革纵深推进，但各国制度化深度差异显著。</w:t>
      </w:r>
      <w:r>
        <w:rPr>
          <w:rFonts w:hint="eastAsia" w:ascii="仿宋" w:hAnsi="仿宋" w:eastAsia="仿宋"/>
          <w:b w:val="0"/>
          <w:sz w:val="32"/>
          <w:szCs w:val="32"/>
        </w:rPr>
        <w:t xml:space="preserve"> </w:t>
      </w:r>
      <w:r>
        <w:rPr>
          <w:rFonts w:hint="eastAsia" w:ascii="仿宋" w:hAnsi="仿宋" w:eastAsia="仿宋"/>
          <w:b w:val="0"/>
          <w:sz w:val="32"/>
          <w:szCs w:val="32"/>
        </w:rPr>
        <w:t>教师AI素养是各项举措能否落地的关键支点，各国正以不同刚性的制度设计加速教师能力升级。美国在2025年行政令中明确优先利用联邦资金为所有教育工作者提供专业发展培训，使其能把AI基础知识整合到各学科，并对计算机科学教师提供教授AI独立课程的专门支持，同时重新设计涵盖职前和在职阶段的教师专业发展。韩国率先在师范院校资格标准中强制要求把AI相关课程纳入教师资质认证，修改职前教育内容。日本文部科学省为教职员提供“生成式AI教员研修视频系列”“生成式AI利用在线研修会”等培训资源，并在全国教职员研修平台集成各大学开发的AI授课活用研修内容，但目前仍以自愿研修为主。欧盟委员会通过更新《在教与学中使用人工智能和数据的伦理指南》为教师提供AI素养的实践培训与支持，并明确教师需了解AI算法的不透明工作原理、能与AI系统交互并掌握相关法规与伦理准则。UNESCO在其教师AI能力框架中倡导推动“AI教师的专业化”，呼吁改革职前和在职培训以培养合格的专职AI教师，并明确AI学科教师应享有与其他核心学科教师同等的专业地位和人事认可；这一理念在中国华东师范大学与腾讯公司联合开发的《中小学人工智能教师能力标准》中已有所体现，该标准涵盖理解与意识、基础知识、基本技能、问题解决能力、教学实践、伦理与安全六个维度，为专职AI教师能力培育提供参照。联合国儿童基金会从保护儿童视角强调教师必须接受数字素养和AI素养培训，以指导学生识别AI的“幻觉”风险和心理健康隐患，并把教师置于教育中心而非被技术取代。可见，韩国在制度强制性上走在前列，美、日、欧更多依靠资金引导、资源供给与伦理指引，联合国系统则着力凝聚全球共识并推动教师专业化标准，各国制度化的步伐与力度仍存在明显梯度。</w:t>
      </w:r>
    </w:p>
    <w:bookmarkEnd w:id="3"/>
    <w:p w14:paraId="4F198875">
      <w:pPr>
        <w:spacing w:line="560" w:lineRule="exact" w:before="240" w:after="120"/>
      </w:pPr>
      <w:bookmarkStart w:id="4" w:name="第三章-政策建议"/>
      <w:r>
        <w:rPr>
          <w:rFonts w:hint="eastAsia" w:ascii="黑体" w:hAnsi="黑体" w:eastAsia="黑体"/>
          <w:b w:val="0"/>
          <w:sz w:val="32"/>
          <w:szCs w:val="32"/>
        </w:rPr>
        <w:t>三、政策建议</w:t>
      </w:r>
    </w:p>
    <w:p w14:paraId="11485D8D">
      <w:pPr>
        <w:spacing w:line="560" w:lineRule="exact" w:before="0" w:after="0"/>
        <w:ind w:firstLine="320"/>
      </w:pPr>
      <w:r>
        <w:rPr>
          <w:rFonts w:hint="eastAsia" w:ascii="仿宋" w:hAnsi="仿宋" w:eastAsia="仿宋"/>
          <w:b w:val="0"/>
          <w:sz w:val="32"/>
          <w:szCs w:val="32"/>
        </w:rPr>
        <w:t>当前，人工智能正深刻改变全球教育格局，主要发达经济体已完成从分散探索到国家战略驱动的转轨，人工智能+教育的顶层设计竞争已上升至国家人才自主与教育主权层面的博弈。我国宜在巩固既有教育数字化成果的基础上，聚焦顶层统筹、课程教学、教师能力、伦理治理等关键环节，加快构建与中国教育发展阶段相适应、与国际趋势相衔接的人工智能+教育政策体系。</w:t>
      </w:r>
    </w:p>
    <w:p w14:paraId="1FF087B1">
      <w:pPr>
        <w:spacing w:line="560" w:lineRule="exact" w:before="120" w:after="0"/>
        <w:ind w:firstLine="320"/>
      </w:pPr>
      <w:r>
        <w:rPr>
          <w:rFonts w:hint="eastAsia" w:ascii="仿宋" w:hAnsi="仿宋" w:eastAsia="仿宋"/>
          <w:b/>
          <w:sz w:val="32"/>
          <w:szCs w:val="32"/>
        </w:rPr>
        <w:t>一是制定国家层面人工智能+教育专项战略与跨部门协同机制。</w:t>
      </w:r>
      <w:r>
        <w:rPr>
          <w:rFonts w:hint="eastAsia" w:ascii="仿宋" w:hAnsi="仿宋" w:eastAsia="仿宋"/>
          <w:b w:val="0"/>
          <w:sz w:val="32"/>
          <w:szCs w:val="32"/>
        </w:rPr>
        <w:t xml:space="preserve"> </w:t>
      </w:r>
      <w:r>
        <w:rPr>
          <w:rFonts w:hint="eastAsia" w:ascii="仿宋" w:hAnsi="仿宋" w:eastAsia="仿宋"/>
          <w:b w:val="0"/>
          <w:sz w:val="32"/>
          <w:szCs w:val="32"/>
        </w:rPr>
        <w:t>我国教育信息化建设虽已取得显著进展，但在人工智能与教育结合领域，仍缺乏由最高层级统筹、覆盖全学段的专项顶层设计，存在部门间职能交叉与资源分散的问题。建议由国务院教育主管部门牵头，联合科技、网信、人力资源社会保障等部门，研究出台《人工智能+教育发展指导意见》或专项行动计划，明确我国人工智能教育的中长期目标、重点任务与资源保障框架。可依托国家教育数字化战略行动的既有平台，建立跨部门人工智能教育工作专班，将战略执行纳入各级政府教育督导与绩效考核，实现从碎片化试点向系统化部署的转轨。</w:t>
      </w:r>
    </w:p>
    <w:p w14:paraId="2739E5AB">
      <w:pPr>
        <w:spacing w:line="560" w:lineRule="exact" w:before="120" w:after="0"/>
        <w:ind w:firstLine="320"/>
      </w:pPr>
      <w:r>
        <w:rPr>
          <w:rFonts w:hint="eastAsia" w:ascii="仿宋" w:hAnsi="仿宋" w:eastAsia="仿宋"/>
          <w:b/>
          <w:sz w:val="32"/>
          <w:szCs w:val="32"/>
        </w:rPr>
        <w:t>二是构建分层贯通的人工智能课程体系与弹性实施路径。</w:t>
      </w:r>
      <w:r>
        <w:rPr>
          <w:rFonts w:hint="eastAsia" w:ascii="仿宋" w:hAnsi="仿宋" w:eastAsia="仿宋"/>
          <w:b w:val="0"/>
          <w:sz w:val="32"/>
          <w:szCs w:val="32"/>
        </w:rPr>
        <w:t xml:space="preserve"> </w:t>
      </w:r>
      <w:r>
        <w:rPr>
          <w:rFonts w:hint="eastAsia" w:ascii="仿宋" w:hAnsi="仿宋" w:eastAsia="仿宋"/>
          <w:b w:val="0"/>
          <w:sz w:val="32"/>
          <w:szCs w:val="32"/>
        </w:rPr>
        <w:t>当前我国中小学信息科技课程已初步覆盖人工智能基础内容，但在目标分层、学段衔接与跨学科融合方面仍存短板，高中阶段人工智能独立选修课程建设尚处探索期。建议在修订义务教育与高中课程方案时，系统设计覆盖“理解—应用—创造”进阶的人工智能能力目标，把人工智能素养融入信息科技、数学、科学、道德与法治等既有学科，避免新增独立必修科目加重学生负担。鼓励有条件的高中依托综合实践活动与校本课程开设人工智能项目式学习模块，并在初中理化生实验、高中研究性学习中融入AI探究任务。同步在国家智慧教育平台上线面向基础教育的人工智能示范课程与开源实训资源，为教育资源薄弱地区提供托底保障。</w:t>
      </w:r>
    </w:p>
    <w:p w14:paraId="77E0E45D">
      <w:pPr>
        <w:spacing w:line="560" w:lineRule="exact" w:before="120" w:after="0"/>
        <w:ind w:firstLine="320"/>
      </w:pPr>
      <w:r>
        <w:rPr>
          <w:rFonts w:hint="eastAsia" w:ascii="仿宋" w:hAnsi="仿宋" w:eastAsia="仿宋"/>
          <w:b/>
          <w:sz w:val="32"/>
          <w:szCs w:val="32"/>
        </w:rPr>
        <w:t>三是建立教师人工智能素养标准并嵌入职前职后培养体系。</w:t>
      </w:r>
      <w:r>
        <w:rPr>
          <w:rFonts w:hint="eastAsia" w:ascii="仿宋" w:hAnsi="仿宋" w:eastAsia="仿宋"/>
          <w:b w:val="0"/>
          <w:sz w:val="32"/>
          <w:szCs w:val="32"/>
        </w:rPr>
        <w:t xml:space="preserve"> </w:t>
      </w:r>
      <w:r>
        <w:rPr>
          <w:rFonts w:hint="eastAsia" w:ascii="仿宋" w:hAnsi="仿宋" w:eastAsia="仿宋"/>
          <w:b w:val="0"/>
          <w:sz w:val="32"/>
          <w:szCs w:val="32"/>
        </w:rPr>
        <w:t>我国教师信息技术应用能力提升工程已对教师数字素养提出要求，但针对人工智能的专项能力标准与培训制度尚未系统建立，多数教师的AI教学应用仍停留在浅层工具操作阶段。建议由教育部教师工作司牵头，研究制定《中小学教师人工智能素养标准》，明确教师在人机协同教学设计、AI伦理识别、数据素养及批判性使用等方面的核心能力指标。把人工智能模块作为必修内容纳入师范专业培养方案与教师资格考试大纲，依托“国培计划”和国家智慧教育平台，开展教师AI教学能力专项研训，重点强化教师对AI输出内容的审查干预意识与覆盖决策能力。</w:t>
      </w:r>
    </w:p>
    <w:p w14:paraId="5E979F50">
      <w:pPr>
        <w:spacing w:line="560" w:lineRule="exact" w:before="120" w:after="0"/>
        <w:ind w:firstLine="320"/>
      </w:pPr>
      <w:r>
        <w:rPr>
          <w:rFonts w:hint="eastAsia" w:ascii="仿宋" w:hAnsi="仿宋" w:eastAsia="仿宋"/>
          <w:b/>
          <w:sz w:val="32"/>
          <w:szCs w:val="32"/>
        </w:rPr>
        <w:t>四是确立教育人工智能应用的伦理审查与人类问责底线机制。</w:t>
      </w:r>
      <w:r>
        <w:rPr>
          <w:rFonts w:hint="eastAsia" w:ascii="仿宋" w:hAnsi="仿宋" w:eastAsia="仿宋"/>
          <w:b w:val="0"/>
          <w:sz w:val="32"/>
          <w:szCs w:val="32"/>
        </w:rPr>
        <w:t xml:space="preserve"> </w:t>
      </w:r>
      <w:r>
        <w:rPr>
          <w:rFonts w:hint="eastAsia" w:ascii="仿宋" w:hAnsi="仿宋" w:eastAsia="仿宋"/>
          <w:b w:val="0"/>
          <w:sz w:val="32"/>
          <w:szCs w:val="32"/>
        </w:rPr>
        <w:t>我国教育领域人工智能产品的准入、数据采集与算法决策尚缺乏针对教育特殊性的合规审查框架，师生认知隐私保护与算法偏见防控存在制度空白。建议由教育部门会同网信、市场监管部门，制定教育人工智能系统的伦理审查与安全评估指南，明确教育场景中高风险应用（如学习诊断、学业预警、招生选拔辅助）的准入条件和负面清单。在制度设计上，须明确教育者与学校作为最终决策主体的不可替代性，严禁以算法输出替代教师对学生的综合评价与成长判断。可先在国家级人工智能教育实验区开展伦理审查机制试点，形成可推广的治理规范后向全国推开。</w:t>
      </w:r>
    </w:p>
    <w:p w14:paraId="0184A4CC">
      <w:pPr>
        <w:spacing w:line="560" w:lineRule="exact" w:before="120" w:after="0"/>
        <w:ind w:firstLine="320"/>
      </w:pPr>
      <w:r>
        <w:rPr>
          <w:rFonts w:hint="eastAsia" w:ascii="仿宋" w:hAnsi="仿宋" w:eastAsia="仿宋"/>
          <w:b/>
          <w:sz w:val="32"/>
          <w:szCs w:val="32"/>
        </w:rPr>
        <w:t>五是稳慎推进人工智能赋能教育变革的试点示范，防范加重负担与加深鸿沟。</w:t>
      </w:r>
      <w:r>
        <w:rPr>
          <w:rFonts w:hint="eastAsia" w:ascii="仿宋" w:hAnsi="仿宋" w:eastAsia="仿宋"/>
          <w:b w:val="0"/>
          <w:sz w:val="32"/>
          <w:szCs w:val="32"/>
        </w:rPr>
        <w:t xml:space="preserve"> </w:t>
      </w:r>
      <w:r>
        <w:rPr>
          <w:rFonts w:hint="eastAsia" w:ascii="仿宋" w:hAnsi="仿宋" w:eastAsia="仿宋"/>
          <w:b w:val="0"/>
          <w:sz w:val="32"/>
          <w:szCs w:val="32"/>
        </w:rPr>
        <w:t>人工智能教育应用在我国部分地区和学校已呈快速发展势头，但也需警惕技术冒进引发的教学秩序失范、师生负担增加及城乡差距加剧等风险。建议坚持“试点先行、评估跟进、逐步推广”的原则，在数字化基础较好的区域布局若干人工智能教育创新试点区，围绕智能批改、自适应学习、虚拟实验等场景开展受控实验，同步建立试点成效的第三方评估与退出机制。对涉及学业评价与升学的高利害应用，须严格论证并设定观察期，避免仓促推广冲击考试公平与社会信任。在资源配置上，应加大对中西部和农村地区教育数字化基础设施的倾斜力度，通过国家智慧教育平台向薄弱地区优先输送优质AI教育资源与教师在线研训服务，防止形成新的智能鸿沟。</w:t>
      </w:r>
    </w:p>
    <w:bookmarkEnd w:id="4"/>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ptos">
    <w:altName w:val="Helvetica Neue"/>
    <w:panose1 w:val="020B0004020202020204"/>
    <w:charset w:val="00"/>
    <w:family w:val="swiss"/>
    <w:pitch w:val="default"/>
    <w:sig w:usb0="00000000" w:usb1="00000000" w:usb2="00000000" w:usb3="00000000" w:csb0="0000019F" w:csb1="00000000"/>
  </w:font>
  <w:font w:name="Helvetica Neue">
    <w:panose1 w:val="02000503000000020004"/>
    <w:charset w:val="00"/>
    <w:family w:val="auto"/>
    <w:pitch w:val="default"/>
    <w:sig w:usb0="E50002FF" w:usb1="500079DB" w:usb2="0000001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等线">
    <w:altName w:val="汉仪中等线KW"/>
    <w:panose1 w:val="00000000000000000000"/>
    <w:charset w:val="86"/>
    <w:family w:val="auto"/>
    <w:pitch w:val="default"/>
    <w:sig w:usb0="00000000" w:usb1="00000000" w:usb2="00000000" w:usb3="00000000" w:csb0="00000000" w:csb1="00000000"/>
  </w:font>
  <w:font w:name="Aptos Display">
    <w:altName w:val="Helvetica Neue"/>
    <w:panose1 w:val="020B0004020202020204"/>
    <w:charset w:val="00"/>
    <w:family w:val="swiss"/>
    <w:pitch w:val="default"/>
    <w:sig w:usb0="00000000" w:usb1="00000000" w:usb2="00000000" w:usb3="00000000" w:csb0="0000019F" w:csb1="00000000"/>
  </w:font>
  <w:font w:name="等线 Light">
    <w:altName w:val="汉仪中等线KW"/>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苹方-简">
    <w:altName w:val="Times New Roman"/>
    <w:panose1 w:val="020B0600000000000000"/>
    <w:charset w:val="00"/>
    <w:family w:val="auto"/>
    <w:pitch w:val="default"/>
    <w:sig w:usb0="00000000" w:usb1="00000000" w:usb2="00000017" w:usb3="00000000" w:csb0="00040001" w:csb1="00000000"/>
  </w:font>
  <w:font w:name="等线">
    <w:altName w:val="汉仪中等线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47FFA81A"/>
    <w:rsid w:val="68F3DFB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uiPriority w:val="0"/>
    <w:rPr>
      <w:color w:val="156082" w:themeColor="accent1"/>
    </w:rPr>
  </w:style>
  <w:style w:type="character" w:customStyle="1" w:styleId="21">
    <w:name w:val="Body Text Char"/>
    <w:basedOn w:val="19"/>
    <w:link w:val="3"/>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uiPriority w:val="10"/>
    <w:rPr>
      <w:rFonts w:asciiTheme="majorHAnsi" w:hAnsiTheme="majorHAnsi" w:eastAsiaTheme="majorEastAsia" w:cstheme="majorBidi"/>
      <w:sz w:val="56"/>
      <w:szCs w:val="56"/>
    </w:rPr>
  </w:style>
  <w:style w:type="character" w:customStyle="1" w:styleId="26">
    <w:name w:val="Subtitle Char"/>
    <w:basedOn w:val="19"/>
    <w:link w:val="16"/>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uiPriority w:val="9"/>
    <w:rPr>
      <w:rFonts w:eastAsiaTheme="majorEastAsia" w:cstheme="majorBidi"/>
      <w:color w:val="0F4761" w:themeColor="accent1" w:themeShade="BF"/>
      <w:sz w:val="28"/>
      <w:szCs w:val="28"/>
    </w:rPr>
  </w:style>
  <w:style w:type="character" w:customStyle="1" w:styleId="34">
    <w:name w:val="Heading 4 Char"/>
    <w:basedOn w:val="19"/>
    <w:link w:val="6"/>
    <w:semiHidden/>
    <w:uiPriority w:val="9"/>
    <w:rPr>
      <w:rFonts w:eastAsiaTheme="majorEastAsia" w:cstheme="majorBidi"/>
      <w:i/>
      <w:iCs/>
      <w:color w:val="0F4761" w:themeColor="accent1" w:themeShade="BF"/>
    </w:rPr>
  </w:style>
  <w:style w:type="character" w:customStyle="1" w:styleId="35">
    <w:name w:val="Heading 5 Char"/>
    <w:basedOn w:val="19"/>
    <w:link w:val="7"/>
    <w:semiHidden/>
    <w:uiPriority w:val="9"/>
    <w:rPr>
      <w:rFonts w:eastAsiaTheme="majorEastAsia" w:cstheme="majorBidi"/>
      <w:color w:val="0F4761" w:themeColor="accent1" w:themeShade="BF"/>
    </w:rPr>
  </w:style>
  <w:style w:type="character" w:customStyle="1" w:styleId="36">
    <w:name w:val="Heading 6 Char"/>
    <w:basedOn w:val="19"/>
    <w:link w:val="8"/>
    <w:semiHidden/>
    <w:uiPriority w:val="9"/>
    <w:rPr>
      <w:rFonts w:eastAsiaTheme="majorEastAsia" w:cstheme="majorBidi"/>
      <w:i/>
      <w:iCs/>
      <w:color w:val="585858" w:themeColor="text1" w:themeTint="A6"/>
    </w:rPr>
  </w:style>
  <w:style w:type="character" w:customStyle="1" w:styleId="37">
    <w:name w:val="Heading 7 Char"/>
    <w:basedOn w:val="19"/>
    <w:link w:val="9"/>
    <w:semiHidden/>
    <w:uiPriority w:val="9"/>
    <w:rPr>
      <w:rFonts w:eastAsiaTheme="majorEastAsia" w:cstheme="majorBidi"/>
      <w:color w:val="585858" w:themeColor="text1" w:themeTint="A6"/>
    </w:rPr>
  </w:style>
  <w:style w:type="character" w:customStyle="1" w:styleId="38">
    <w:name w:val="Heading 8 Char"/>
    <w:basedOn w:val="19"/>
    <w:link w:val="10"/>
    <w:semiHidden/>
    <w:uiPriority w:val="9"/>
    <w:rPr>
      <w:rFonts w:eastAsiaTheme="majorEastAsia" w:cstheme="majorBidi"/>
      <w:i/>
      <w:iCs/>
      <w:color w:val="262626" w:themeColor="text1" w:themeTint="D8"/>
    </w:rPr>
  </w:style>
  <w:style w:type="character" w:customStyle="1" w:styleId="39">
    <w:name w:val="Heading 9 Char"/>
    <w:basedOn w:val="19"/>
    <w:link w:val="11"/>
    <w:semiHidden/>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2"/>
    <w:uiPriority w:val="0"/>
    <w:pPr>
      <w:keepNext/>
    </w:pPr>
  </w:style>
  <w:style w:type="paragraph" w:customStyle="1" w:styleId="45">
    <w:name w:val="Image Caption"/>
    <w:basedOn w:val="12"/>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21"/>
    <w:link w:val="49"/>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21"/>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s>
</file>

<file path=word/_rels/document.xml.rels><?xml version="1.0" encoding="UTF-8"?><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83</Words>
  <Characters>475</Characters>
  <Lines>12</Lines>
  <Paragraphs>8</Paragraphs>
  <TotalTime>6</TotalTime>
  <ScaleCrop>false</ScaleCrop>
  <LinksUpToDate>false</LinksUpToDate>
  <CharactersWithSpaces>583</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2026-06-29T22:33:00Z</dcterms:created>
  <dc:creator>胡靖凯</dc:creator>
  <cp:lastModifiedBy>胡靖凯</cp:lastModifiedBy>
  <dcterms:modified xsi:type="dcterms:W3CDTF">2026-07-03T09:40:26Z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993DC1CC07D8B41039FA456A622B43BA_42</vt:lpwstr>
  </property>
</Properties>
</file>