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DA0268">
      <w:pPr>
        <w:spacing w:before="240" w:after="240" w:line="720" w:lineRule="exact"/>
        <w:jc w:val="center"/>
      </w:pPr>
      <w:bookmarkStart w:id="0" w:name="美国ai人才战略布局及我国教育域应对策略"/>
      <w:r>
        <w:rPr>
          <w:rFonts w:hint="eastAsia" w:ascii="方正小标宋简体" w:hAnsi="方正小标宋简体" w:eastAsia="方正小标宋简体"/>
          <w:b w:val="0"/>
          <w:sz w:val="44"/>
          <w:szCs w:val="44"/>
        </w:rPr>
        <w:t>美国AI人才战略布局及我国应对策略</w:t>
      </w:r>
    </w:p>
    <w:p w14:paraId="65802385">
      <w:pPr>
        <w:spacing w:before="0" w:after="0" w:line="560" w:lineRule="exact"/>
        <w:ind w:firstLine="320"/>
      </w:pPr>
      <w:r>
        <w:rPr>
          <w:rFonts w:hint="eastAsia" w:ascii="仿宋" w:hAnsi="仿宋" w:eastAsia="仿宋"/>
          <w:b w:val="0"/>
          <w:sz w:val="32"/>
          <w:szCs w:val="32"/>
        </w:rPr>
        <w:t>2021年，美国国家人工智能安全委员会（NSCAI）发布最终报告，把“人力资源短缺”列为将人工智能应用于国家安全的最大障碍，并明确指出美国本土出生的人工智能博士生数量自1990年以来未见增长，首次面临在科学前沿失去顶尖人才竞争优势的风险。值得关注的是，该报告援引应对苏联“人造卫星”危机的《1958年国防教育法案》为先例，呼吁出台第二部《国防教育法案》以修补当前教育系统的缺陷。几乎同期通过的《2021年美国创新与竞争法案》，则把从本科奖学金到博士绿卡的一整套人才通道写入立法。这表明，在美方的战略设计中，人工智能竞争的关键已前移至教育与人才环节，且这套布局以加剧竞争对手“人才流失”为公开意图，对我国教育系统形成了直接而长期的压力。</w:t>
      </w:r>
    </w:p>
    <w:p w14:paraId="1B48C6F0">
      <w:pPr>
        <w:spacing w:before="240" w:after="120" w:line="560" w:lineRule="exact"/>
        <w:rPr>
          <w:rFonts w:hint="eastAsia" w:ascii="华文仿宋" w:hAnsi="华文仿宋" w:eastAsia="华文仿宋" w:cs="华文仿宋"/>
          <w:b/>
          <w:bCs/>
          <w:sz w:val="36"/>
          <w:szCs w:val="36"/>
        </w:rPr>
      </w:pPr>
      <w:bookmarkStart w:id="1" w:name="一美国围绕ai人才形成培养吸引占位统筹四线布局"/>
      <w:r>
        <w:rPr>
          <w:rFonts w:hint="eastAsia" w:ascii="华文仿宋" w:hAnsi="华文仿宋" w:eastAsia="华文仿宋" w:cs="华文仿宋"/>
          <w:b/>
          <w:bCs/>
          <w:sz w:val="36"/>
          <w:szCs w:val="36"/>
        </w:rPr>
        <w:t>一、美国围绕AI人才形成“培养—吸引—占位—统筹”四线布局</w:t>
      </w:r>
    </w:p>
    <w:p w14:paraId="53C59CAA">
      <w:pPr>
        <w:spacing w:before="0" w:after="0" w:line="560" w:lineRule="exact"/>
        <w:ind w:firstLine="320"/>
      </w:pPr>
      <w:r>
        <w:rPr>
          <w:rFonts w:hint="eastAsia" w:ascii="仿宋" w:hAnsi="仿宋" w:eastAsia="仿宋"/>
          <w:b w:val="0"/>
          <w:sz w:val="32"/>
          <w:szCs w:val="32"/>
        </w:rPr>
        <w:t>美方的措施并非零散投入，而是把国内培养、全球吸引、标准占位与顶层统筹拧成一条贯通的链条，其重心始终落在人才的培养与争夺上。</w:t>
      </w:r>
    </w:p>
    <w:p w14:paraId="6246EDE6">
      <w:pPr>
        <w:spacing w:before="120" w:after="0" w:line="560" w:lineRule="exact"/>
        <w:ind w:firstLine="320"/>
      </w:pPr>
      <w:r>
        <w:rPr>
          <w:rFonts w:hint="eastAsia" w:ascii="仿宋" w:hAnsi="仿宋" w:eastAsia="仿宋"/>
          <w:b/>
          <w:sz w:val="32"/>
          <w:szCs w:val="32"/>
        </w:rPr>
        <w:t>在国内培养扩容上，美方着力夯实人才底座。</w:t>
      </w:r>
      <w:r>
        <w:rPr>
          <w:rFonts w:hint="eastAsia" w:ascii="仿宋" w:hAnsi="仿宋" w:eastAsia="仿宋"/>
          <w:b w:val="0"/>
          <w:sz w:val="32"/>
          <w:szCs w:val="32"/>
        </w:rPr>
        <w:t xml:space="preserve"> NSCAI报告呼吁通过第二部《国防教育法案》修补K-12等教育系统缺陷，并由国家科学基金会（NSF）在五年内设立2.5万个STEM本科奖学金、5000个STEM博士奖学金和500个博士后职位；同时设立“AI服务奖学金计划”，以最长四年的全额学费招募和培训人工智能专业人员。这一安排的功能，是从教育源头扩大顶尖人才供给，缓解长期竞争中的基础能力约束。</w:t>
      </w:r>
    </w:p>
    <w:p w14:paraId="377C79E1">
      <w:pPr>
        <w:spacing w:before="120" w:after="0" w:line="560" w:lineRule="exact"/>
        <w:ind w:firstLine="320"/>
      </w:pPr>
      <w:r>
        <w:rPr>
          <w:rFonts w:hint="eastAsia" w:ascii="仿宋" w:hAnsi="仿宋" w:eastAsia="仿宋"/>
          <w:b/>
          <w:sz w:val="32"/>
          <w:szCs w:val="32"/>
        </w:rPr>
        <w:t>在全球吸引与科研保护上，美方争夺顶尖存量。</w:t>
      </w:r>
      <w:r>
        <w:rPr>
          <w:rFonts w:hint="eastAsia" w:ascii="仿宋" w:hAnsi="仿宋" w:eastAsia="仿宋"/>
          <w:b w:val="0"/>
          <w:sz w:val="32"/>
          <w:szCs w:val="32"/>
        </w:rPr>
        <w:t xml:space="preserve"> 据公开报道，美方提议向所有从其认证大学毕业的STEM博士直接授予绿卡且不计入名额上限，并创建不受上限限制的“新兴与颠覆性技术签证”；与此同时，立法禁止联邦科学机构人员参与他国政府人才招聘计划，对具有特定军方背景的研究人员实施严格签证审查。一放一收之间，美方既向全球敞开顶尖人才入口，又收紧竞争对手的人才回流与合作渠道。</w:t>
      </w:r>
    </w:p>
    <w:p w14:paraId="7D377F92">
      <w:pPr>
        <w:spacing w:before="120" w:after="0" w:line="560" w:lineRule="exact"/>
        <w:ind w:firstLine="320"/>
      </w:pPr>
      <w:r>
        <w:rPr>
          <w:rFonts w:hint="eastAsia" w:ascii="仿宋" w:hAnsi="仿宋" w:eastAsia="仿宋"/>
          <w:b/>
          <w:sz w:val="32"/>
          <w:szCs w:val="32"/>
        </w:rPr>
        <w:t>在标准占位与顶层统筹上，美方把链条拧紧。</w:t>
      </w:r>
      <w:r>
        <w:rPr>
          <w:rFonts w:hint="eastAsia" w:ascii="仿宋" w:hAnsi="仿宋" w:eastAsia="仿宋"/>
          <w:b w:val="0"/>
          <w:sz w:val="32"/>
          <w:szCs w:val="32"/>
        </w:rPr>
        <w:t xml:space="preserve"> 一方面，法案要求拨付专项资金资助美方学者和中小企业参与国际人工智能及数据标准制定，以争夺标准制定机构的领导权；另一方面，战略强调必须由白宫领导、超越单一部门，设立技术竞争力委员会和国家人工智能倡议办公室，统筹研发、教育与基础设施。其中，“国家AI研究资源（NAIRR）”明确以弥合“算力鸿沟”为目标，向研究人员和学生提供可扩展的算力与数据集。可见，美方正把教育培养、人才吸引、算力供给和标准话语权纳入统一战略框架。</w:t>
      </w:r>
    </w:p>
    <w:bookmarkEnd w:id="1"/>
    <w:p w14:paraId="47370516">
      <w:pPr>
        <w:spacing w:before="240" w:after="120" w:line="560" w:lineRule="exact"/>
        <w:rPr>
          <w:rFonts w:hint="eastAsia" w:ascii="华文仿宋" w:hAnsi="华文仿宋" w:eastAsia="华文仿宋" w:cs="华文仿宋"/>
          <w:b/>
          <w:bCs/>
          <w:sz w:val="36"/>
          <w:szCs w:val="36"/>
        </w:rPr>
      </w:pPr>
      <w:bookmarkStart w:id="2" w:name="二ai人才之争已成为美国国家竞争体系的教育支点"/>
      <w:r>
        <w:rPr>
          <w:rFonts w:hint="eastAsia" w:ascii="华文仿宋" w:hAnsi="华文仿宋" w:eastAsia="华文仿宋" w:cs="华文仿宋"/>
          <w:b/>
          <w:bCs/>
          <w:sz w:val="36"/>
          <w:szCs w:val="36"/>
        </w:rPr>
        <w:t>二、AI人才之争已成为美国国家竞争体系的教育支点</w:t>
      </w:r>
    </w:p>
    <w:p w14:paraId="33FB5FBB">
      <w:pPr>
        <w:spacing w:before="0" w:after="0" w:line="560" w:lineRule="exact"/>
        <w:ind w:firstLine="320"/>
      </w:pPr>
      <w:r>
        <w:rPr>
          <w:rFonts w:hint="eastAsia" w:ascii="仿宋" w:hAnsi="仿宋" w:eastAsia="仿宋"/>
          <w:b w:val="0"/>
          <w:sz w:val="32"/>
          <w:szCs w:val="32"/>
        </w:rPr>
        <w:t>美方之所以把人才问题提到国家战略高度，并非源于一时的技术起伏，而是基于其将教育转化为国家竞争优势的长期逻辑。NSCAI报告专门援引《1958年国防教育法案》：当年美国正是借此大幅增加教育投入、重塑科研与人才培养体系，最终在相关领域形成长期优势。今天美方重提这一先例，说明它把当前的人工智能竞争视为又一次“教育动员”。</w:t>
      </w:r>
    </w:p>
    <w:p w14:paraId="6661A223">
      <w:pPr>
        <w:spacing w:before="0" w:after="0" w:line="560" w:lineRule="exact"/>
        <w:ind w:firstLine="320"/>
      </w:pPr>
      <w:r>
        <w:rPr>
          <w:rFonts w:hint="eastAsia" w:ascii="仿宋" w:hAnsi="仿宋" w:eastAsia="仿宋"/>
          <w:b w:val="0"/>
          <w:sz w:val="32"/>
          <w:szCs w:val="32"/>
        </w:rPr>
        <w:t>与历史经验相比，当前布局呈现三个新变化：一是从国内培养延伸到全球顶尖存量的争夺；二是从单一奖学金扩展到“奖学金—博士—绿卡”贯通的进阶通道；三是从教育部门一家之事扩展到教育、科研、移民、标准多线协同。更值得注意的是其公开意图。据相关战略文件披露，美方明确提出要利用移民政策加剧中国的“人才流失”，并直言这将迫使中方陷入“两难境地”——要么承受人力资本流失，要么限制本国国民赴外学习工作。</w:t>
      </w:r>
    </w:p>
    <w:p w14:paraId="4998B3B1">
      <w:pPr>
        <w:spacing w:before="0" w:after="0" w:line="560" w:lineRule="exact"/>
        <w:ind w:firstLine="320"/>
      </w:pPr>
      <w:r>
        <w:rPr>
          <w:rFonts w:hint="eastAsia" w:ascii="仿宋" w:hAnsi="仿宋" w:eastAsia="仿宋"/>
          <w:b w:val="0"/>
          <w:sz w:val="32"/>
          <w:szCs w:val="32"/>
        </w:rPr>
        <w:t>这些布局恰好咬住了我国教育系统的几处真实短板。其一，是顶尖人才的留存与早期培养。我国STEM毕业生体量庞大，2014年一年即达约170万，是全球最大的人工智能人才来源国，约占全球顶级深度学习人才的近三成；但有研究显示，我国流失的顶尖人才数量居世界前列，2009至2018年间约2800名中国籍相关国际会议参与者中，约四分之三目前在境外工作。增量充沛而高端存量留存不足，正是被美方意图利用的缺口。其二，是关键学科与高校算力。面对先进制程设备出口管制与依赖少数科技巨头封闭算力生态的现实，我国集成电路等关键领域的工程人才培养、广大高校与中小团队的科研算力供给均存在约束。其三，是标准领域的复合型人才稀缺，以及人才培养在学科、层级、评价口径上仍较分散、教育与科技产业政策口径未充分贯通。这些压力指向性明确、咬合于我自身短板，且多属中长期复利型挑战，应对之策须落在教育系统内部。</w:t>
      </w:r>
    </w:p>
    <w:bookmarkEnd w:id="2"/>
    <w:p w14:paraId="035D2C4A">
      <w:pPr>
        <w:spacing w:before="240" w:after="120" w:line="560" w:lineRule="exact"/>
      </w:pPr>
      <w:bookmarkStart w:id="3" w:name="三我国应对ai人才竞争的教育域策略"/>
      <w:r>
        <w:rPr>
          <w:rFonts w:hint="eastAsia" w:ascii="华文仿宋" w:hAnsi="华文仿宋" w:eastAsia="华文仿宋" w:cs="华文仿宋"/>
          <w:b/>
          <w:bCs/>
          <w:sz w:val="36"/>
          <w:szCs w:val="36"/>
        </w:rPr>
        <w:t>三、我国应对AI人才竞争的</w:t>
      </w:r>
      <w:bookmarkStart w:id="4" w:name="_GoBack"/>
      <w:bookmarkEnd w:id="4"/>
      <w:r>
        <w:rPr>
          <w:rFonts w:hint="eastAsia" w:ascii="华文仿宋" w:hAnsi="华文仿宋" w:eastAsia="华文仿宋" w:cs="华文仿宋"/>
          <w:b/>
          <w:bCs/>
          <w:sz w:val="36"/>
          <w:szCs w:val="36"/>
        </w:rPr>
        <w:t>策略</w:t>
      </w:r>
    </w:p>
    <w:p w14:paraId="704256C8">
      <w:pPr>
        <w:spacing w:before="120" w:after="0" w:line="560" w:lineRule="exact"/>
        <w:ind w:firstLine="320"/>
      </w:pPr>
      <w:r>
        <w:rPr>
          <w:rFonts w:hint="eastAsia" w:ascii="仿宋" w:hAnsi="仿宋" w:eastAsia="仿宋"/>
          <w:b/>
          <w:sz w:val="32"/>
          <w:szCs w:val="32"/>
        </w:rPr>
        <w:t>第一，把人工智能人才培养纳入教育强国统筹口径，形成贯通导向。</w:t>
      </w:r>
      <w:r>
        <w:rPr>
          <w:rFonts w:hint="eastAsia" w:ascii="仿宋" w:hAnsi="仿宋" w:eastAsia="仿宋"/>
          <w:b w:val="0"/>
          <w:sz w:val="32"/>
          <w:szCs w:val="32"/>
        </w:rPr>
        <w:t xml:space="preserve"> 针对美方以白宫统筹打通人才通道、而我国培养链条相对分散的反差，建议由教育部发展规划与学位管理部门牵头，将人工智能人才培养作为专门任务纳入教育强国建设规划口径，统筹学科设置、培养层级、评价标准与平台投入，推动其在不同政策口径中形成一致导向。其要义不在新设跨部门机构，而在盘活双一流学科动态调整等现有机制，推动由“单点强”转向“链条强”。</w:t>
      </w:r>
    </w:p>
    <w:p w14:paraId="16100B75">
      <w:pPr>
        <w:spacing w:before="120" w:after="0" w:line="560" w:lineRule="exact"/>
        <w:ind w:firstLine="320"/>
      </w:pPr>
      <w:r>
        <w:rPr>
          <w:rFonts w:hint="eastAsia" w:ascii="仿宋" w:hAnsi="仿宋" w:eastAsia="仿宋"/>
          <w:b/>
          <w:sz w:val="32"/>
          <w:szCs w:val="32"/>
        </w:rPr>
        <w:t>第二，做厚拔尖创新人才早期培养，提质关键学科供给。</w:t>
      </w:r>
      <w:r>
        <w:rPr>
          <w:rFonts w:hint="eastAsia" w:ascii="仿宋" w:hAnsi="仿宋" w:eastAsia="仿宋"/>
          <w:b w:val="0"/>
          <w:sz w:val="32"/>
          <w:szCs w:val="32"/>
        </w:rPr>
        <w:t xml:space="preserve"> 针对美方意在加剧我国顶尖人才流失、且以出口管制约束我国先进制程的双重压力，应对之策在于从源头做厚人才增量。建议教育部高等教育司联合一流高校，依托强基计划、基础学科拔尖学生培养计划2.0，把人工智能数理基础人才的早期发现与贯通培养做实；同时用好人工智能、集成电路等一级学科建设与卓越工程师教育培养计划，面向国产工具链适配需求，通过产教融合定向培养工程人才。涉及超常规选拔的环节，须稳慎有序推进。</w:t>
      </w:r>
    </w:p>
    <w:p w14:paraId="44549D5A">
      <w:pPr>
        <w:spacing w:before="120" w:after="0" w:line="560" w:lineRule="exact"/>
        <w:ind w:firstLine="320"/>
      </w:pPr>
      <w:r>
        <w:rPr>
          <w:rFonts w:hint="eastAsia" w:ascii="仿宋" w:hAnsi="仿宋" w:eastAsia="仿宋"/>
          <w:b/>
          <w:sz w:val="32"/>
          <w:szCs w:val="32"/>
        </w:rPr>
        <w:t>第三，建设高校科研算力普惠供给机制，破解算力分配不均。</w:t>
      </w:r>
      <w:r>
        <w:rPr>
          <w:rFonts w:hint="eastAsia" w:ascii="仿宋" w:hAnsi="仿宋" w:eastAsia="仿宋"/>
          <w:b w:val="0"/>
          <w:sz w:val="32"/>
          <w:szCs w:val="32"/>
        </w:rPr>
        <w:t xml:space="preserve"> 针对美方以“国家AI研究资源”向学生和研究人员普惠供给算力、而我国科研算力较多依赖少数科技巨头封闭生态的差距，建议教育部科技与信息化部门会同地方教育部门，依托国家智慧教育平台和国家算力一体化布局，探索面向高校和中小科研团队的科研“算力券”与共享调度机制，对算力薄弱的中西部高校和青年教师团队予以倾斜。该机制需先行建立算力统筹规则、使用申报与绩效核算办法，再逐步扩大覆盖，并配套开放数据集与教学训练资源，使前沿研究与人才培养不致受算力门槛与封闭生态的过度约束。</w:t>
      </w:r>
    </w:p>
    <w:p w14:paraId="63686F8D">
      <w:pPr>
        <w:spacing w:before="120" w:after="0" w:line="560" w:lineRule="exact"/>
        <w:ind w:firstLine="320"/>
      </w:pPr>
      <w:r>
        <w:rPr>
          <w:rFonts w:hint="eastAsia" w:ascii="仿宋" w:hAnsi="仿宋" w:eastAsia="仿宋"/>
          <w:b/>
          <w:sz w:val="32"/>
          <w:szCs w:val="32"/>
        </w:rPr>
        <w:t>第四，完善留学治理与海外青年人才的教育引进通道。</w:t>
      </w:r>
      <w:r>
        <w:rPr>
          <w:rFonts w:hint="eastAsia" w:ascii="仿宋" w:hAnsi="仿宋" w:eastAsia="仿宋"/>
          <w:b w:val="0"/>
          <w:sz w:val="32"/>
          <w:szCs w:val="32"/>
        </w:rPr>
        <w:t xml:space="preserve"> 针对美方一面以直接绿卡虹吸顶尖人才、一面收紧合作回路的态势，应对之策落在留学治理而非产业引才。建议教育部国际合作与交流部门会同留学服务机构与高校，对人工智能等关键学科健全出国留学与回流服务的全周期管理，区分基础研究合作、联合培养与应用场景对接的不同功能；同时用好来华留学提质和博士后制度，畅通对海外优秀青年学者、博士毕业生的教育引进通道。开放与安全须分类施策、各有边界。</w:t>
      </w:r>
    </w:p>
    <w:p w14:paraId="0413081D">
      <w:pPr>
        <w:spacing w:before="120" w:after="0" w:line="560" w:lineRule="exact"/>
        <w:ind w:firstLine="320"/>
      </w:pPr>
      <w:r>
        <w:rPr>
          <w:rFonts w:hint="eastAsia" w:ascii="仿宋" w:hAnsi="仿宋" w:eastAsia="仿宋"/>
          <w:b/>
          <w:sz w:val="32"/>
          <w:szCs w:val="32"/>
        </w:rPr>
        <w:t>第五，培养标准化与科技治理复合型人才，夯实规则参与的人力基础。</w:t>
      </w:r>
      <w:r>
        <w:rPr>
          <w:rFonts w:hint="eastAsia" w:ascii="仿宋" w:hAnsi="仿宋" w:eastAsia="仿宋"/>
          <w:b w:val="0"/>
          <w:sz w:val="32"/>
          <w:szCs w:val="32"/>
        </w:rPr>
        <w:t xml:space="preserve"> 针对美方拨付专项资金资助学者占位国际标准制定机构、而我国既懂技术又懂规则、能在国际标准组织持续供稿的复合型人才稀缺的短板，建议教育部指导有条件的高校联合行业标准机构，在人工智能、电子信息等相关专业中增设标准化与科技治理课程模块，鼓励以专业学位和交叉学科方式定向培养；并通过科研评价改革，把师生实质性参与国际标准制定的贡献纳入职称评审与考核认定，扭转“重论文、轻标准”的单一导向。此项属长期布局，重在持续供给能在国际规则场域稳定发声的专门人才，不求一时之功。</w:t>
      </w:r>
    </w:p>
    <w:p w14:paraId="2F2A14F0">
      <w:pPr>
        <w:spacing w:before="120" w:after="0" w:line="560" w:lineRule="exact"/>
        <w:ind w:firstLine="320"/>
      </w:pPr>
      <w:r>
        <w:rPr>
          <w:rFonts w:hint="eastAsia" w:ascii="仿宋" w:hAnsi="仿宋" w:eastAsia="仿宋"/>
          <w:b/>
          <w:sz w:val="32"/>
          <w:szCs w:val="32"/>
        </w:rPr>
        <w:t>第六，在扩培与改革中稳慎防控教育公平与教师负担。</w:t>
      </w:r>
      <w:r>
        <w:rPr>
          <w:rFonts w:hint="eastAsia" w:ascii="仿宋" w:hAnsi="仿宋" w:eastAsia="仿宋"/>
          <w:b w:val="0"/>
          <w:sz w:val="32"/>
          <w:szCs w:val="32"/>
        </w:rPr>
        <w:t xml:space="preserve"> 不同于美方扩容无须背负相应约束，我国新增人工智能培养内容必须守住学业负担和教育公平两条红线。建议教育部会同地方教育部门，在推进拔尖选拔与学科扩培时，同步评估其对城乡区域教育公平的影响，将相关内容尽量融入既有学科课程而非简单新设，防止加重学生学业负担和一线教师工作负担，并加强舆论引导。此条虽不直接对应美方某项举措，却是我国国情下不可回避的前提性安排。</w:t>
      </w:r>
    </w:p>
    <w:bookmarkEnd w:id="0"/>
    <w:bookmarkEnd w:id="3"/>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00000000" w:usb1="00000000" w:usb2="00000017" w:usb3="00000000" w:csb0="00040001" w:csb1="00000000"/>
  </w:font>
  <w:font w:name="方正小标宋简体">
    <w:altName w:val="汉仪书宋二KW"/>
    <w:panose1 w:val="00000000000000000000"/>
    <w:charset w:val="00"/>
    <w:family w:val="auto"/>
    <w:pitch w:val="default"/>
    <w:sig w:usb0="00000000" w:usb1="00000000" w:usb2="00000000" w:usb3="00000000" w:csb0="00000000" w:csb1="00000000"/>
  </w:font>
  <w:font w:name="楷体">
    <w:altName w:val="汉仪楷体KW"/>
    <w:panose1 w:val="00000000000000000000"/>
    <w:charset w:val="00"/>
    <w:family w:val="auto"/>
    <w:pitch w:val="default"/>
    <w:sig w:usb0="00000000" w:usb1="00000000" w:usb2="00000000" w:usb3="00000000" w:csb0="00000000" w:csb1="00000000"/>
  </w:font>
  <w:font w:name="仿宋">
    <w:altName w:val="方正仿宋_GBK"/>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 w:name="华文仿宋">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3EFA6174"/>
    <w:rsid w:val="57B13418"/>
    <w:rsid w:val="BDFED270"/>
    <w:rsid w:val="D7BF9D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83</Words>
  <Characters>475</Characters>
  <Lines>12</Lines>
  <Paragraphs>8</Paragraphs>
  <TotalTime>7</TotalTime>
  <ScaleCrop>false</ScaleCrop>
  <LinksUpToDate>false</LinksUpToDate>
  <CharactersWithSpaces>583</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2026-06-26T20:04:00Z</dcterms:created>
  <dc:creator>胡靖凯</dc:creator>
  <cp:lastModifiedBy>胡靖凯</cp:lastModifiedBy>
  <dcterms:modified xsi:type="dcterms:W3CDTF">2026-07-03T10:00:35Z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BBE86D0096CA283633FC456A720A19B2_42</vt:lpwstr>
  </property>
</Properties>
</file>