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03A8B">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rPr>
          <w:rFonts w:hint="eastAsia" w:ascii="方正小标宋简体" w:hAnsi="方正小标宋简体" w:eastAsia="方正小标宋简体" w:cs="方正小标宋简体"/>
          <w:sz w:val="44"/>
          <w:szCs w:val="44"/>
          <w:lang w:val="en-US" w:eastAsia="zh-CN"/>
        </w:rPr>
      </w:pPr>
    </w:p>
    <w:p w14:paraId="6843122C">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center"/>
        <w:textAlignment w:val="auto"/>
        <w:rPr>
          <w:rFonts w:hint="eastAsia" w:ascii="仿宋_GB2312" w:hAnsi="仿宋_GB2312" w:eastAsia="仿宋_GB2312" w:cs="仿宋_GB2312"/>
          <w:sz w:val="32"/>
          <w:szCs w:val="32"/>
          <w:lang w:val="en-US" w:eastAsia="zh-CN"/>
        </w:rPr>
      </w:pPr>
      <w:r>
        <w:rPr>
          <w:rFonts w:hint="eastAsia" w:ascii="方正小标宋简体" w:hAnsi="方正小标宋简体" w:eastAsia="方正小标宋简体" w:cs="方正小标宋简体"/>
          <w:sz w:val="44"/>
          <w:szCs w:val="44"/>
          <w:lang w:val="en-US" w:eastAsia="zh-CN"/>
        </w:rPr>
        <w:t>“人工智能+教育”国际比较报告</w:t>
      </w:r>
      <w:bookmarkStart w:id="0" w:name="_GoBack"/>
      <w:bookmarkEnd w:id="0"/>
    </w:p>
    <w:p w14:paraId="589321C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一、“人工智能+教育”相关政策的国际比较</w:t>
      </w:r>
    </w:p>
    <w:p w14:paraId="74ACB0AA">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（一）顶层设计与实施机制</w:t>
      </w:r>
    </w:p>
    <w:p w14:paraId="0139CB8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随着AI在教育领域的深入应用，其在教学创新、学习支持、教育治理及人才培养方面的潜在变革力量日益受到重视。近年来，世界主要国家在制定AI在教育中应用指南基础上陆续出台了旨在促进AI赋能教育变革的政策文件或行动计划，形成了从战略布局到治理执行的多层次政策体系。总体来看，各国在教育AI政策的顶层设计与实施机制方面形成了不同路径，这些差异既反映了政策体系成熟度的差别，也体现了各国行政体制、教育传统与技术发展阶段的特征。</w:t>
      </w:r>
    </w:p>
    <w:p w14:paraId="2141825D">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1.</w:t>
      </w:r>
      <w:r>
        <w:rPr>
          <w:rFonts w:hint="eastAsia" w:ascii="仿宋_GB2312" w:hAnsi="仿宋_GB2312" w:eastAsia="仿宋_GB2312" w:cs="仿宋_GB2312"/>
          <w:b/>
          <w:bCs/>
          <w:sz w:val="32"/>
          <w:szCs w:val="32"/>
        </w:rPr>
        <w:t>顶层设计的主要类型</w:t>
      </w:r>
    </w:p>
    <w:p w14:paraId="6932E37B">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从政策体系的整体构成与战略定位来看，目前国际上教育AI的顶层设计大致可分为三种类型。</w:t>
      </w:r>
    </w:p>
    <w:p w14:paraId="604DC5C7">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第一类是双重规划型。</w:t>
      </w:r>
      <w:r>
        <w:rPr>
          <w:rFonts w:hint="eastAsia" w:ascii="仿宋_GB2312" w:hAnsi="仿宋_GB2312" w:eastAsia="仿宋_GB2312" w:cs="仿宋_GB2312"/>
          <w:sz w:val="32"/>
          <w:szCs w:val="32"/>
        </w:rPr>
        <w:t>这类国家既制定了国家层面的综合性AI发展战略，又出台了教育系统的独立或配套AI专项规划，从而在国家战略框架中形成双层设计结构。</w:t>
      </w:r>
    </w:p>
    <w:p w14:paraId="22A94E9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美国是最为典型的代表，2025年4月23日，美国总统特朗普发布《推动美国青少年AI教育发展》（Advancing Artificial Intelligence Education for American Youth）行政命令，重点围绕师生AI素养提升、AI赋能教育、AI人才培养提出了多项举措，包括设立总统AI挑战赛、多方合作开发AI教育资源、加强教师AI培训以及推广AI相关的注册学徒制等，同时设立专门的跨部门协调机制推动落实。为进一步提升AI教育的战略性地位，美国白宫在2025年7月23日发布的《赢得竞赛：美国人工智能行动计划》（Winning the Race: America’s AI Action Plan）中进一步将教育AI与AI劳动力建设统筹起来考虑。该总体战略明确提出“将推进一系列优先行动，以提高AI素养和技能发展水平，持续评估AI对劳动力市场的影响，并试点新的创新措施，以快速对工人进行再培训，帮助他们在AI驱动的经济中蓬勃发展”，同时提出了6项具体行动建议。美国的这两份政策在功能上相互衔接，形成教育专项与国家战略并行的格局。</w:t>
      </w:r>
    </w:p>
    <w:p w14:paraId="3C0EFB6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澳大利亚同样体现出双重规划的特征。2023年11月，澳大利亚教育部发布《澳大利亚学校生成式AI框架》（Australian Framework for Generative Artificial Intelligence in Schools），不过该政策文件虽名为“框架”，但仅就生成式AI在学校教育中的使用原则做出了规范，严格意义上不能看作为政策规划。2024年，该框架按规定进行了年度审查，其结果于2025年6月得到澳大利亚教育部批准。在该审查结果中，澳大利亚教育部提出并列入实施计划的若干教育AI项目，包括AI与澳大利亚课程的衔接、AI在课程中的融入、生成式AI对教育的影响研究、AI国家产品期望（National Product Expectations）等。这一审查结果文件具备了一定的行动规划性质。2025年12月2日，澳大利亚工业、科学与资源部（Department of Industry, Science and Resources）发布《国家AI计划》（National AI Plan），系统阐述国家层面的AI发展目标与人才战略，教育AI被列为其中的关键组成部分，其举措包括加强AI人才培养、提升AI技能、在学校试点生成式AI等。</w:t>
      </w:r>
    </w:p>
    <w:p w14:paraId="234C0719">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第二类是综合规划型。</w:t>
      </w:r>
      <w:r>
        <w:rPr>
          <w:rFonts w:hint="eastAsia" w:ascii="仿宋_GB2312" w:hAnsi="仿宋_GB2312" w:eastAsia="仿宋_GB2312" w:cs="仿宋_GB2312"/>
          <w:sz w:val="32"/>
          <w:szCs w:val="32"/>
        </w:rPr>
        <w:t>此类国家制定了国家AI战略，但教育AI还尚未形成独立文件，而是以“人才培养”“数字技能”“教育创新”等议题嵌入国家AI总体战略之中。</w:t>
      </w:r>
    </w:p>
    <w:p w14:paraId="60FEE56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英国是较为典型的案例。2021年英国数字、文化、媒体与体育（Digital, Culture, Media and Sport）大臣向议会提交《国家AI战略》（National AI Strategy），将培养和吸引AI人才作为其中重要一部分内容。2025年1月13日，英国科学、创新与技术部（Department for Science, Innovation and Technology）向议会提交《AI机会行动计划》（AI Opportunities Action Plan），提出50项建议，几乎全部得到英国政府同意。在该计划中，AI人才培养与吸引继续作为其中重要一部分内容，具体举措包括：支持高等教育机构增加AI专业毕业生数量并教授与行业相关的技能、为国际学生提供AI奖学金、确保终身技能项目为AI做好准备、扩大图灵AI奖学金计划等。</w:t>
      </w:r>
    </w:p>
    <w:p w14:paraId="71BBEA6E">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第三类是项目驱动型。</w:t>
      </w:r>
      <w:r>
        <w:rPr>
          <w:rFonts w:hint="eastAsia" w:ascii="仿宋_GB2312" w:hAnsi="仿宋_GB2312" w:eastAsia="仿宋_GB2312" w:cs="仿宋_GB2312"/>
          <w:sz w:val="32"/>
          <w:szCs w:val="32"/>
        </w:rPr>
        <w:t>此类国家目前还尚未建立完整的AI总体战略或教育AI专项规划，而是通过特定项目、行动计划或试点实践推进AI教育应用。</w:t>
      </w:r>
    </w:p>
    <w:p w14:paraId="77A31B4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爱沙尼亚为典型代表。其“AI Leap 2025”国家项目由爱尔兰教育和研究部（Ministry of Education and Research）牵头，旨在帮助学校适应AI时代并促进有意义的学习。具体聚焦三大领域：教师、学生和技术支持。教师项目主要为在全国范围内开展培训活动，并在学校内部建立学习社区，以分享最佳实践，并重新思考AI时代下的教学方式以及提供学科教学材料。学生项目主要为与青年组织合作（学校学生会联盟、爱沙尼亚青年商会、爱沙尼亚辩论协会），探索AI工具的应用场景（黑客马拉松、共创冲刺、辩论赛和创意工作坊），以及在爱沙尼亚的学生中测试互动式AI素养工作坊，并将其推广开来。技术支持主要是为爱沙尼亚学生开发并持续改进专门的学习应用程序，提供10-11年级的学习内容，为所有高中教师提供访问付费版ChatGPT或谷歌Gemini的权限，以及开展AI素养培训等。</w:t>
      </w:r>
    </w:p>
    <w:p w14:paraId="709284A0">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2.</w:t>
      </w:r>
      <w:r>
        <w:rPr>
          <w:rFonts w:hint="eastAsia" w:ascii="仿宋_GB2312" w:hAnsi="仿宋_GB2312" w:eastAsia="仿宋_GB2312" w:cs="仿宋_GB2312"/>
          <w:b/>
          <w:bCs/>
          <w:sz w:val="32"/>
          <w:szCs w:val="32"/>
        </w:rPr>
        <w:t>实施机制的主要类型</w:t>
      </w:r>
    </w:p>
    <w:p w14:paraId="3FF6F226">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与顶层设计相对应，各国在政策执行与治理结构上也形成了三种主要的实施机制。</w:t>
      </w:r>
    </w:p>
    <w:p w14:paraId="3F2F6594">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第一类是专设机构型。</w:t>
      </w:r>
      <w:r>
        <w:rPr>
          <w:rFonts w:hint="eastAsia" w:ascii="仿宋_GB2312" w:hAnsi="仿宋_GB2312" w:eastAsia="仿宋_GB2312" w:cs="仿宋_GB2312"/>
          <w:sz w:val="32"/>
          <w:szCs w:val="32"/>
        </w:rPr>
        <w:t>这类机制通常设立专门机构或跨部门工作组，以集中统筹政策制定、协调与执行。例如，美国设立了“白宫AI教育特别工作组”（White House Task Force on AI Education），由科技政策办公室主任担任特别工作组主席，工作组成员包括美国农业部长、劳工部长、能源部长、教育部长、国家科学基金会主任、总统国内政策助理、AI与加密特别顾问、总统政策助理以及其他行政部门和机构负责人。工作组负责联邦政府层面的教育AI行动，并协调联邦政府与AI教育相关的各项工作。</w:t>
      </w:r>
    </w:p>
    <w:p w14:paraId="13421F8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第二类是多机构协同型。</w:t>
      </w:r>
      <w:r>
        <w:rPr>
          <w:rFonts w:hint="eastAsia" w:ascii="仿宋_GB2312" w:hAnsi="仿宋_GB2312" w:eastAsia="仿宋_GB2312" w:cs="仿宋_GB2312"/>
          <w:sz w:val="32"/>
          <w:szCs w:val="32"/>
        </w:rPr>
        <w:t>此类机制没有单一核心机构，而是通过多部门协作共同推进政策目标。例如，澳大利亚在实施《澳大利亚学校生成式AI框架》过程中，成立了全国学校AI工作组（National AI in Schools Taskforce），成员包括来自所有司法管辖区的代表、国家版权局（NCU）、非政府学校部门最高机构、澳大利亚独立学校协会（ISA）和全国天主教教育委员会（NCEC）的代表，以及来自澳大利亚课程、评估和报告局（ACARA）、澳大利亚教育研究组织（AERO）、澳大利亚教学和学校领导研究所（AITSL）和澳大利亚教育服务机构（ESA）等国家教育组织的代表，该工作组之下还成立了AI实践（AI in Practice）和AI合规与标准（AI Compliance and Standards)两个小组（working groups），其中前者由澳大利亚教学与学校领导力研究所（AITSL）和澳大利亚教育研究组织（AERO）共同领导，后者则由澳大利亚教育服务机构（ESA）领导。而列入2024年审查结果中的国家层面的其中两个项目则由澳大利亚课程、评估和报告局负责。澳大利亚的这种协同机制兼具协调性与灵活性，适应联邦制国家的分权特征。</w:t>
      </w:r>
    </w:p>
    <w:p w14:paraId="2DF400F1">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ascii="Times New Roman" w:hAnsi="Times New Roman" w:eastAsia="宋体" w:cs="Times New Roman"/>
          <w:sz w:val="28"/>
          <w:szCs w:val="28"/>
        </w:rPr>
      </w:pPr>
      <w:r>
        <w:rPr>
          <w:rFonts w:hint="eastAsia" w:ascii="仿宋_GB2312" w:hAnsi="仿宋_GB2312" w:eastAsia="仿宋_GB2312" w:cs="仿宋_GB2312"/>
          <w:b/>
          <w:bCs/>
          <w:sz w:val="32"/>
          <w:szCs w:val="32"/>
        </w:rPr>
        <w:t>第三类是委托执行型。</w:t>
      </w:r>
      <w:r>
        <w:rPr>
          <w:rFonts w:hint="eastAsia" w:ascii="仿宋_GB2312" w:hAnsi="仿宋_GB2312" w:eastAsia="仿宋_GB2312" w:cs="仿宋_GB2312"/>
          <w:sz w:val="32"/>
          <w:szCs w:val="32"/>
        </w:rPr>
        <w:t>政府将教育AI任务委托给特定机构、大学或社会组织执行，项目驱动性较强。以爱沙尼亚为代表，其“AI Leap 2025”项目具体由AI Leap基金会领导，由国家和私营部门共同资助，目前包括爱沙尼亚电信公司（Telia Estonia）、投资公司Skaala Impact、教育基金会Smart Future Fund、爱沙尼亚信息技术和电信协会等在内的机构都明确支持该项目。</w:t>
      </w:r>
    </w:p>
    <w:p w14:paraId="2CD44AA3">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楷体_GB2312" w:hAnsi="楷体_GB2312" w:eastAsia="楷体_GB2312" w:cs="楷体_GB2312"/>
          <w:b w:val="0"/>
          <w:bCs w:val="0"/>
          <w:sz w:val="32"/>
          <w:szCs w:val="32"/>
        </w:rPr>
      </w:pPr>
      <w:r>
        <w:rPr>
          <w:rFonts w:hint="eastAsia" w:ascii="楷体_GB2312" w:hAnsi="楷体_GB2312" w:eastAsia="楷体_GB2312" w:cs="楷体_GB2312"/>
          <w:b w:val="0"/>
          <w:bCs w:val="0"/>
          <w:sz w:val="32"/>
          <w:szCs w:val="32"/>
          <w:lang w:val="en-US" w:eastAsia="zh-CN"/>
        </w:rPr>
        <w:t>（二）</w:t>
      </w:r>
      <w:r>
        <w:rPr>
          <w:rFonts w:hint="eastAsia" w:ascii="楷体_GB2312" w:hAnsi="楷体_GB2312" w:eastAsia="楷体_GB2312" w:cs="楷体_GB2312"/>
          <w:b w:val="0"/>
          <w:bCs w:val="0"/>
          <w:sz w:val="32"/>
          <w:szCs w:val="32"/>
        </w:rPr>
        <w:t>AI+教育伦理与安全治理机制</w:t>
      </w:r>
    </w:p>
    <w:p w14:paraId="310106AD">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随着AI在教育领域的广泛应用，教育AI的伦理与安全问题已成为各国政策治理的重要议题。发达国家和经济体普遍将“安全、可控、负责任”作为教育AI发展的底线原则，并通过立法、发布指南和建议等制度化手段强化，目前的共同做法具体包括以下方面。</w:t>
      </w:r>
    </w:p>
    <w:p w14:paraId="7A3B628B">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一是强化“人本价值”核心伦理导向。</w:t>
      </w:r>
      <w:r>
        <w:rPr>
          <w:rFonts w:hint="eastAsia" w:ascii="仿宋_GB2312" w:hAnsi="仿宋_GB2312" w:eastAsia="仿宋_GB2312" w:cs="仿宋_GB2312"/>
          <w:sz w:val="32"/>
          <w:szCs w:val="32"/>
        </w:rPr>
        <w:t>发达国家和经济体在教育AI政策设计中普遍确立“以人为本（human-centric）”的基本原则，强调AI应用必须尊重教育的主体性、学习者的自主权与教师的专业判断。例如，欧盟在2022年发布的《教育工作者在教学中使用AI和数据的伦理准则》（Ethical Guidelines on the Use of Artificial Intelligence and Data in Teaching and Learning for Educators）中提出四项核心伦理考虑：人的主体性（Human agency）、公平性（Fairness）、人文关怀（Humanity）和合理选择（Justified choice）。</w:t>
      </w:r>
    </w:p>
    <w:p w14:paraId="4BF1BA9F">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二是完善“数据安全与隐私保护”基础风险治理体系。</w:t>
      </w:r>
      <w:r>
        <w:rPr>
          <w:rFonts w:hint="eastAsia" w:ascii="仿宋_GB2312" w:hAnsi="仿宋_GB2312" w:eastAsia="仿宋_GB2312" w:cs="仿宋_GB2312"/>
          <w:sz w:val="32"/>
          <w:szCs w:val="32"/>
        </w:rPr>
        <w:t>在教育AI场景中，学生数据、学习记录与生成内容的安全使用成为伦理治理的核心。发达国家和经济体普遍通过法律与政策框架将数据保护纳入教育AI治理主线。例如，英国教育部2023年发布“学校数据保护”（Data protection in schools）政策，对学校访问、收集、存储和使用个人数据据提出了具体要求，并特别关注如何解决在学校使用生成式AI的潜在数据保护风险。</w:t>
      </w:r>
    </w:p>
    <w:p w14:paraId="796EF47E">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三是公平性与算法偏差防控成为核心伦理议题。</w:t>
      </w:r>
      <w:r>
        <w:rPr>
          <w:rFonts w:hint="eastAsia" w:ascii="仿宋_GB2312" w:hAnsi="仿宋_GB2312" w:eastAsia="仿宋_GB2312" w:cs="仿宋_GB2312"/>
          <w:sz w:val="32"/>
          <w:szCs w:val="32"/>
        </w:rPr>
        <w:t>在教育AI治理中，如何防止算法加剧教育不平等或形成偏见，已成为发达国家和经济体普遍关注的焦点。例如，美国教育部在2023年发布的《人工智能与教学的未来》（Artificial Intelligence and the Future of Teaching and Learning）中强调，当AI算法引入或维持不公正的歧视性做法时，必须解决其存在的偏见问题。</w:t>
      </w:r>
    </w:p>
    <w:p w14:paraId="06034D8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w:t>
      </w:r>
      <w:r>
        <w:rPr>
          <w:rFonts w:hint="eastAsia" w:ascii="仿宋_GB2312" w:hAnsi="仿宋_GB2312" w:eastAsia="仿宋_GB2312" w:cs="仿宋_GB2312"/>
          <w:b/>
          <w:bCs/>
          <w:sz w:val="32"/>
          <w:szCs w:val="32"/>
        </w:rPr>
        <w:t>是强调透明、可解释与问责机制。</w:t>
      </w:r>
      <w:r>
        <w:rPr>
          <w:rFonts w:hint="eastAsia" w:ascii="仿宋_GB2312" w:hAnsi="仿宋_GB2312" w:eastAsia="仿宋_GB2312" w:cs="仿宋_GB2312"/>
          <w:sz w:val="32"/>
          <w:szCs w:val="32"/>
        </w:rPr>
        <w:t>为防止AI系统的“黑箱化”风险，多数发达国家要求教育AI系统具备可解释性（explainability）和可审计性（auditability）等。例如，澳大利亚在《澳大利亚学校生成式人工智能框架》中强调，当生成式AI工具的使用方式对学校社区产生影响时，学校社区应得到适当的告知；供应商应确保最终用户能够广泛了解生成式AI工具所使用的方法及其潜在偏差。</w:t>
      </w:r>
    </w:p>
    <w:p w14:paraId="0C6DA43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rPr>
        <w:t>五是将伦理教育与AI素养培养结合起来。</w:t>
      </w:r>
      <w:r>
        <w:rPr>
          <w:rFonts w:hint="eastAsia" w:ascii="仿宋_GB2312" w:hAnsi="仿宋_GB2312" w:eastAsia="仿宋_GB2312" w:cs="仿宋_GB2312"/>
          <w:sz w:val="32"/>
          <w:szCs w:val="32"/>
        </w:rPr>
        <w:t>教育AI伦理治理不仅依赖制度约束，更强调师生的伦理意识与风险识别能力。发达国家普遍将AI伦理素养纳入教育体系建设。例如，日本文部科学省2023年发布的《初等中等教育阶段生成式AI利用暂行指南》指出，所有学校应进一步丰富教育活动，培养包含确认信息真伪在内的信息利用能力，从而提高AI时代所需的素质和能力。</w:t>
      </w:r>
    </w:p>
    <w:p w14:paraId="7DA3F22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二、人工智能人才培养的国际比较</w:t>
      </w:r>
    </w:p>
    <w:p w14:paraId="43A541F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（一）人工智能通识课程与师生素养提升</w:t>
      </w:r>
    </w:p>
    <w:p w14:paraId="1C6D0501">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一是构建人工智能素养框架，重塑核心素养标准。</w:t>
      </w:r>
      <w:r>
        <w:rPr>
          <w:rFonts w:hint="eastAsia" w:ascii="仿宋_GB2312" w:hAnsi="仿宋_GB2312" w:eastAsia="仿宋_GB2312" w:cs="仿宋_GB2312"/>
          <w:sz w:val="32"/>
          <w:szCs w:val="32"/>
        </w:rPr>
        <w:t>联合国儿基会发布第三版“AI与儿童指南”，明确搭建儿童正规与非正规AI素养教育项目，培育其必备生活及技术技能，同时强化教师AI培训支持，筑牢教师教学核心地位。联合国教科文组织将师生素AI素养培育纳入智能时代教育治理关键，通过多份文件明确AI教育“必备技能”范畴，2024年发布报告细化师生所需知识、技能与态度，提供实践指引。欧盟依托相关行动计划与伦理准则推进AI素养教育，与经合组织合作开发《中小学人工智能素养框架》，将素养拆解为22种融合技术、技能与态度的能力，配套学段应用场景，为PISA 2029评估奠定基础。美国构建多维度框架体系，数字承诺组织从素养实践、核心价值、参与形式、应用类别四个维度界定AI素养；南部地区教育委员会发布《面向AI时代的劳动力技能》框架，提出AI融入课程标准、产教融合、教师赋能等系统性举措，覆盖K12至职业培训全教育链条。</w:t>
      </w:r>
    </w:p>
    <w:p w14:paraId="347B8B4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二是开发课程标准和资源，普及人工智能通识教育。</w:t>
      </w:r>
      <w:r>
        <w:rPr>
          <w:rFonts w:hint="eastAsia" w:ascii="仿宋_GB2312" w:hAnsi="仿宋_GB2312" w:eastAsia="仿宋_GB2312" w:cs="仿宋_GB2312"/>
          <w:sz w:val="32"/>
          <w:szCs w:val="32"/>
        </w:rPr>
        <w:t>经合组织发布专项政策文件，深入剖析AI对课程目标与内容的潜在影响，提出需重新审视教育目标变革、AI可替代能力界定等核心命题，同时研发AI与人类能力评估方法及指标体系，为政策制定提供支撑。美国推进K-12计算机科学课程普及成效显著，2023年支持高中开设相关课程的州增至30个，部分州普及率达99%。同年，国家科学基金会推出“人工智能教育计划”，通过建设基础设施、开发跨学科及衔接课程、搭建资源库与交互式平台等，保障全民AI教育资源供给。2025年，美国教育部报告提出动态优化课程、重构教学模式，聚焦核心能力培养，同步覆盖AI素养与专业课程，南部地区委员会配套提出AI融入课程标准、协调教育与劳动力市场等建议。日本通过系列专项文件明确高校AI通识教育目标，构建分层课程体系，由校级机构统筹资源，全面培育学生AI兴趣、基础知识与技能等通识素养。德国明确要求整合各级各类学科课程，针对性调整课程计划以应对AI发展挑战。印度启动新国家课程框架编制，探索AI等学科引入各级课程的可行性。</w:t>
      </w:r>
    </w:p>
    <w:p w14:paraId="5458D071">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三是将AI技能整合融入各级各类教育，扩大职业发展机会。</w:t>
      </w:r>
      <w:r>
        <w:rPr>
          <w:rFonts w:hint="eastAsia" w:ascii="仿宋_GB2312" w:hAnsi="仿宋_GB2312" w:eastAsia="仿宋_GB2312" w:cs="仿宋_GB2312"/>
          <w:sz w:val="32"/>
          <w:szCs w:val="32"/>
        </w:rPr>
        <w:t>美国通过顶层设计推动AI教育与职业衔接，特朗普总统发布“推动美国青少年人工智能教育发展”行政命令，以打造AI全球领导地位为目标，为青少年创造AI教育及职业发展机会，配套成立AI教育特别工作组，依托公私合作模式为K12阶段提供AI教育资源，部署总统AI挑战赛、教师AI培训、注册学徒制推广等专项行动，聚焦早期AI技术接触与全民AI素养提升，培育专业劳动力与创新人才。英国更新“高等数学支持计划”，助力女孩深耕高等数学及AI相关职业，定向支持400所贫困中学学生打破背景壁垒，同时开展教师AI培训试点，开设涵盖AI核心数学概念的学生拓展课程。韩国通过AI课程及多元培训计划，将AI、数据与数字素养全面融入全链条教育。新加坡搭建全国性AI技能在线平台，为学习者提供多样化培训机会，夯实AI技能培育基础。</w:t>
      </w:r>
    </w:p>
    <w:p w14:paraId="09D8FDF1">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（二）人工智能人才培养与学科专业调整</w:t>
      </w:r>
    </w:p>
    <w:p w14:paraId="496AA034">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一是统筹战略布局，打造高水平人工智能人才队伍。</w:t>
      </w:r>
      <w:r>
        <w:rPr>
          <w:rFonts w:hint="eastAsia" w:ascii="仿宋_GB2312" w:hAnsi="仿宋_GB2312" w:eastAsia="仿宋_GB2312" w:cs="仿宋_GB2312"/>
          <w:sz w:val="32"/>
          <w:szCs w:val="32"/>
        </w:rPr>
        <w:t>欧盟积极塑造AI全球格局，2025年发布《AI大陆行动计划》，以打造AI全球领导者为目标，重点扩大AI专家队伍，通过启动“AI技能学院”一站式服务平台，开展AI学徒计划、奖学金计划，开发生成式AI试点学位，优化签证政策等举措，吸引并留住欧盟内外顶尖AI人才。同年，美国白宫发布《赢得竞赛：美国人工智能行动计划》，确立全美AI教育联邦政策框架，以放松管制、创新驱动为核心，凸显教育在AI全球竞争中的战略地位，构建覆盖K-12启蒙、职业教育技能重塑、高等教育科研转型及全生命周期再培训的AI人才培养体系，助力美国巩固AI领先优势。澳大利亚发布《国家AI计划》，聚焦培育包容性AI人才队伍，通过“国家技能协议”“AI技能加速器”项目、下一代毕业生计划等举措，强化职业教育与行业协同，精准对接技能需求；依托专业机构提供市场洞察，推动AI技能培训，优化资质体系、破解应用障碍，助力全民适配AI经济。</w:t>
      </w:r>
    </w:p>
    <w:p w14:paraId="5A85B33C">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二是优化学科专业设置，着力培养复合型人才。</w:t>
      </w:r>
      <w:r>
        <w:rPr>
          <w:rFonts w:hint="eastAsia" w:ascii="仿宋_GB2312" w:hAnsi="仿宋_GB2312" w:eastAsia="仿宋_GB2312" w:cs="仿宋_GB2312"/>
          <w:sz w:val="32"/>
          <w:szCs w:val="32"/>
        </w:rPr>
        <w:t>2025年，英国科学、创新与技术部提交《人工智能机会行动计划》，将“培养、留住和吸引下一代AI科学家和创业者”列为核心任务。一方面支持高校联合行业，借鉴国际成熟合作模式设计课程、提升教学招生能力，扩大AI专业毕业生规模，保障AI专业人才供给；另一方面推出旗舰AI奖学金项目，面向英国内外学者提供财政支持、行业实习等多元化资源，精准吸引优质人才。日本通过系列专项文件明确要求，高校需立足自身特色开展AI通识教育，打破文理壁垒，结合学生专业领域与数理基础提供进阶教育，筑牢高端AI人才成长根基。美国高校普遍以独立专业或方向开设AI本科教育，课程体系兼顾核心模块与跨学科内容，核心模块涵盖数学、计算机科学与AI，跨学科课程覆盖人文伦理、自然科学等领域，同时赋予学生极高专业选择自由度，支持调整研究方向与转专业，实现兴趣与专业精准匹配，培育拔尖创新人才。组织建设方面，美国顶尖高校纷纷成立AI学院或研究所，截至2023年已开设667门AI相关课程。人才资助方面，能源部、国家科学基金会通过研究生奖学金计划，定向支持AI交叉学科人才攻读高阶学位，强化机器学习等核心技能。</w:t>
      </w:r>
    </w:p>
    <w:p w14:paraId="17BDB4E2">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ascii="Times New Roman" w:hAnsi="Times New Roman" w:eastAsia="宋体" w:cs="Times New Roman"/>
          <w:sz w:val="28"/>
          <w:szCs w:val="28"/>
        </w:rPr>
      </w:pPr>
      <w:r>
        <w:rPr>
          <w:rFonts w:hint="eastAsia" w:ascii="仿宋_GB2312" w:hAnsi="仿宋_GB2312" w:eastAsia="仿宋_GB2312" w:cs="仿宋_GB2312"/>
          <w:b/>
          <w:bCs/>
          <w:sz w:val="32"/>
          <w:szCs w:val="32"/>
        </w:rPr>
        <w:t>三是加强人工智能研究生教育，深化产教融合。</w:t>
      </w:r>
      <w:r>
        <w:rPr>
          <w:rFonts w:hint="eastAsia" w:ascii="仿宋_GB2312" w:hAnsi="仿宋_GB2312" w:eastAsia="仿宋_GB2312" w:cs="仿宋_GB2312"/>
          <w:sz w:val="32"/>
          <w:szCs w:val="32"/>
        </w:rPr>
        <w:t>2025年，欧盟发布“应用AI战略”与“科学AI战略”，双轮驱动巩固欧洲AI领先地位。前者聚焦行业落地，通过定向培训、在职培训及专项项目培育复合型人才；后者聚焦科研创新，资助博士网络与卓越主题网络培养研究人才。日本高校推出两类研究生计划，一类是数字技术与AI融合项目适配“社会5.0”需求，另一类是实践型项目强化人才实操能力并推动AI在中小企业应用。德国依托人工智能卓越学院开展研究生培养，强调学术交流与产业合作，要求博士生参与行业实习，实行双导师制。美国高校将产教融合贯穿培养全程，导师招聘侧重产业背景，博士名额向产业紧密型方向倾斜，以研究经费为导向市场化分配，精准对接产业与前沿需求。</w:t>
      </w:r>
    </w:p>
    <w:p w14:paraId="5BF5239F">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三、政策建议</w:t>
      </w:r>
    </w:p>
    <w:p w14:paraId="44A70868">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关于推进“人工智能+教育”与新型人才培养的对策建议为抢抓人工智能时代教育变革的战略机遇，全面赋能教育强国建设与高质量人才培养。</w:t>
      </w:r>
    </w:p>
    <w:p w14:paraId="610896D4">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一是强化顶层设计，构建协同高效的教育AI国家推进机制。</w:t>
      </w:r>
      <w:r>
        <w:rPr>
          <w:rFonts w:hint="eastAsia" w:ascii="仿宋_GB2312" w:hAnsi="仿宋_GB2312" w:eastAsia="仿宋_GB2312" w:cs="仿宋_GB2312"/>
          <w:sz w:val="32"/>
          <w:szCs w:val="32"/>
          <w:lang w:val="en-US" w:eastAsia="zh-CN"/>
        </w:rPr>
        <w:t>建议在国家层面出台教育AI发展总体规划，明确其作为教育强国与数字中国建设重要支撑的战略定位。联合教育、科技、工信、网信、财政等部门，打破部门壁垒，形成政策协调与资源整合的常设工作机制。鼓励地方承担落地与示范任务，构建中央统筹谋划、地方创新实践、政产学研用多元主体深度参与的教育AI良性生态格局。</w:t>
      </w:r>
    </w:p>
    <w:p w14:paraId="38DEB706">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二是夯实国民基础，全面普及贯通全学段的AI素养与通识教育。</w:t>
      </w:r>
      <w:r>
        <w:rPr>
          <w:rFonts w:hint="eastAsia" w:ascii="仿宋_GB2312" w:hAnsi="仿宋_GB2312" w:eastAsia="仿宋_GB2312" w:cs="仿宋_GB2312"/>
          <w:sz w:val="32"/>
          <w:szCs w:val="32"/>
          <w:lang w:val="en-US" w:eastAsia="zh-CN"/>
        </w:rPr>
        <w:t>建议制定面向人终身发展的“国家人工智能素养框架”，并将其正式纳入学生核心素养体系与国家课程方案。加快构建大中小学段纵向贯通的AI通识课程资源库与教材体系，建立动态优化机制。同时，将教师AI胜任力建设置于教学改革核心地位，开展全国教师AI技能专项赋能行动，打造标准引领、师生共进的数字素养培育体系。</w:t>
      </w:r>
    </w:p>
    <w:p w14:paraId="1C624D95">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三是聚焦战略需求，深化“AI+X”交叉融合与拔尖创新人才培养。</w:t>
      </w:r>
      <w:r>
        <w:rPr>
          <w:rFonts w:hint="eastAsia" w:ascii="仿宋_GB2312" w:hAnsi="仿宋_GB2312" w:eastAsia="仿宋_GB2312" w:cs="仿宋_GB2312"/>
          <w:sz w:val="32"/>
          <w:szCs w:val="32"/>
          <w:lang w:val="en-US" w:eastAsia="zh-CN"/>
        </w:rPr>
        <w:t>建议引导高校主动适应技术变革，优化学科专业设置，打破传统学科壁垒，构建动态开放的“AI+X”交叉学科培养架构与项目驱动式教学模式。针对国家重大战略需求，强化高层次AI人才供给，适度扩大顶尖高校人工智能及相关交叉专业博士生培养规模。深化升级产教融合，将博士生培养深度嵌入企业核心技术攻关一线，靶向培育能够突破前沿“卡脖子”技术的领军型、复合型创新人才。</w:t>
      </w:r>
    </w:p>
    <w:p w14:paraId="51C51673">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四是筑牢安全底线，健全教育AI伦理规范与敏捷监管治理体系。</w:t>
      </w:r>
      <w:r>
        <w:rPr>
          <w:rFonts w:hint="eastAsia" w:ascii="仿宋_GB2312" w:hAnsi="仿宋_GB2312" w:eastAsia="仿宋_GB2312" w:cs="仿宋_GB2312"/>
          <w:sz w:val="32"/>
          <w:szCs w:val="32"/>
          <w:lang w:val="en-US" w:eastAsia="zh-CN"/>
        </w:rPr>
        <w:t>进一步完善法规体系，为数据收集、算法应用、内容生成及师生隐私保护等划定清晰红线与权责边界。探索建立教育AI伦理审查与风险评估制度，对引入校园的新型AI产品实施备案制与动态监管。此外，应将AI伦理安全教育全面融入师资培养体系与学生课堂，切实提升全体教育参与者的科技向善意识与风险防范能力。</w:t>
      </w:r>
    </w:p>
    <w:p w14:paraId="17081DD2">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eastAsia" w:ascii="仿宋_GB2312" w:hAnsi="仿宋_GB2312" w:eastAsia="仿宋_GB2312" w:cs="仿宋_GB2312"/>
          <w:sz w:val="32"/>
          <w:szCs w:val="32"/>
          <w:lang w:val="en-US" w:eastAsia="zh-CN"/>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3000509000000000000"/>
    <w:charset w:val="86"/>
    <w:family w:val="auto"/>
    <w:pitch w:val="default"/>
    <w:sig w:usb0="00000000" w:usb1="00000000" w:usb2="00000000" w:usb3="00000000" w:csb0="00040000" w:csb1="00000000"/>
  </w:font>
  <w:font w:name="楷体_GB2312">
    <w:altName w:val="汉仪楷体简"/>
    <w:panose1 w:val="02010609030101010101"/>
    <w:charset w:val="86"/>
    <w:family w:val="auto"/>
    <w:pitch w:val="default"/>
    <w:sig w:usb0="00000000" w:usb1="00000000" w:usb2="00000000" w:usb3="00000000" w:csb0="00040000" w:csb1="00000000"/>
  </w:font>
  <w:font w:name="仿宋_GB2312">
    <w:altName w:val="方正仿宋_GBK"/>
    <w:panose1 w:val="0201060903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67B7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BBA86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2BBA86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AB2DE0"/>
    <w:rsid w:val="0010386B"/>
    <w:rsid w:val="008F3777"/>
    <w:rsid w:val="00D70581"/>
    <w:rsid w:val="019C4B9F"/>
    <w:rsid w:val="01D461B2"/>
    <w:rsid w:val="021019E8"/>
    <w:rsid w:val="023745FF"/>
    <w:rsid w:val="02A073F7"/>
    <w:rsid w:val="02CC415C"/>
    <w:rsid w:val="030B6CEE"/>
    <w:rsid w:val="035A15D5"/>
    <w:rsid w:val="03947D17"/>
    <w:rsid w:val="04864572"/>
    <w:rsid w:val="04964AEF"/>
    <w:rsid w:val="049B455B"/>
    <w:rsid w:val="04F272A2"/>
    <w:rsid w:val="05AD55D0"/>
    <w:rsid w:val="05D9781A"/>
    <w:rsid w:val="06CA4FEA"/>
    <w:rsid w:val="07162068"/>
    <w:rsid w:val="077774A8"/>
    <w:rsid w:val="07EF762C"/>
    <w:rsid w:val="08867A94"/>
    <w:rsid w:val="08886C91"/>
    <w:rsid w:val="09446994"/>
    <w:rsid w:val="09AD1C07"/>
    <w:rsid w:val="09DB788B"/>
    <w:rsid w:val="09DC3456"/>
    <w:rsid w:val="0A9110D3"/>
    <w:rsid w:val="0AA46B8E"/>
    <w:rsid w:val="0B856C05"/>
    <w:rsid w:val="0BBB456A"/>
    <w:rsid w:val="0BE672B5"/>
    <w:rsid w:val="0C7D1CBB"/>
    <w:rsid w:val="0CCC0E96"/>
    <w:rsid w:val="0DE308FE"/>
    <w:rsid w:val="0DE34CCC"/>
    <w:rsid w:val="0E4A1718"/>
    <w:rsid w:val="0E6C5B73"/>
    <w:rsid w:val="0EAB3C5A"/>
    <w:rsid w:val="0F481AE4"/>
    <w:rsid w:val="0FF27E2F"/>
    <w:rsid w:val="10F17963"/>
    <w:rsid w:val="11890301"/>
    <w:rsid w:val="11AD21A1"/>
    <w:rsid w:val="132C501E"/>
    <w:rsid w:val="13AF114A"/>
    <w:rsid w:val="14143F52"/>
    <w:rsid w:val="1455322B"/>
    <w:rsid w:val="14E57793"/>
    <w:rsid w:val="15151529"/>
    <w:rsid w:val="15310969"/>
    <w:rsid w:val="188E0EE3"/>
    <w:rsid w:val="18F90E28"/>
    <w:rsid w:val="1A2910C2"/>
    <w:rsid w:val="1B3D45F1"/>
    <w:rsid w:val="1BBD2ECB"/>
    <w:rsid w:val="1BFC0372"/>
    <w:rsid w:val="1C47467A"/>
    <w:rsid w:val="1C857F27"/>
    <w:rsid w:val="1D4925E4"/>
    <w:rsid w:val="1D8F5DF7"/>
    <w:rsid w:val="1E944CE9"/>
    <w:rsid w:val="1F193DA5"/>
    <w:rsid w:val="203E611C"/>
    <w:rsid w:val="208A1BDB"/>
    <w:rsid w:val="20911A73"/>
    <w:rsid w:val="212846B7"/>
    <w:rsid w:val="216E457B"/>
    <w:rsid w:val="217346E1"/>
    <w:rsid w:val="22063BC5"/>
    <w:rsid w:val="221718FC"/>
    <w:rsid w:val="23211A95"/>
    <w:rsid w:val="23432C7D"/>
    <w:rsid w:val="23BA71AA"/>
    <w:rsid w:val="23CA6BC7"/>
    <w:rsid w:val="24C51524"/>
    <w:rsid w:val="25F50CB6"/>
    <w:rsid w:val="25F74DE9"/>
    <w:rsid w:val="267A0CD6"/>
    <w:rsid w:val="27191DAD"/>
    <w:rsid w:val="27480B8C"/>
    <w:rsid w:val="286C7CC9"/>
    <w:rsid w:val="28707F74"/>
    <w:rsid w:val="2976318E"/>
    <w:rsid w:val="29875421"/>
    <w:rsid w:val="29AD0AC4"/>
    <w:rsid w:val="29D84445"/>
    <w:rsid w:val="2A9E2143"/>
    <w:rsid w:val="2B443868"/>
    <w:rsid w:val="2BF2745C"/>
    <w:rsid w:val="2D51490A"/>
    <w:rsid w:val="2D6B0F85"/>
    <w:rsid w:val="2D8B3950"/>
    <w:rsid w:val="2E615CDA"/>
    <w:rsid w:val="2F226561"/>
    <w:rsid w:val="2F4C6A01"/>
    <w:rsid w:val="2F945773"/>
    <w:rsid w:val="305117CC"/>
    <w:rsid w:val="309F3438"/>
    <w:rsid w:val="31557346"/>
    <w:rsid w:val="316137F2"/>
    <w:rsid w:val="31A326CE"/>
    <w:rsid w:val="31DB52AF"/>
    <w:rsid w:val="325A5BC4"/>
    <w:rsid w:val="32AC3601"/>
    <w:rsid w:val="33563D01"/>
    <w:rsid w:val="34065100"/>
    <w:rsid w:val="3411572F"/>
    <w:rsid w:val="350C660B"/>
    <w:rsid w:val="358A58CA"/>
    <w:rsid w:val="365F6554"/>
    <w:rsid w:val="36DC59C8"/>
    <w:rsid w:val="372568B4"/>
    <w:rsid w:val="37423CA8"/>
    <w:rsid w:val="383A49F4"/>
    <w:rsid w:val="39A84451"/>
    <w:rsid w:val="3A0138F0"/>
    <w:rsid w:val="3A826C2A"/>
    <w:rsid w:val="3AF86F17"/>
    <w:rsid w:val="3C4300D4"/>
    <w:rsid w:val="3C7060DA"/>
    <w:rsid w:val="3C826495"/>
    <w:rsid w:val="3CDF0C4E"/>
    <w:rsid w:val="3D4D60B1"/>
    <w:rsid w:val="3E53469A"/>
    <w:rsid w:val="3E745472"/>
    <w:rsid w:val="3EBB6494"/>
    <w:rsid w:val="3EC550B9"/>
    <w:rsid w:val="3F482B3F"/>
    <w:rsid w:val="3FAC37F8"/>
    <w:rsid w:val="411C6F07"/>
    <w:rsid w:val="41F3727E"/>
    <w:rsid w:val="42032272"/>
    <w:rsid w:val="42AC0EF4"/>
    <w:rsid w:val="450029C0"/>
    <w:rsid w:val="45284771"/>
    <w:rsid w:val="463F6E00"/>
    <w:rsid w:val="46BC4BF1"/>
    <w:rsid w:val="46D2182A"/>
    <w:rsid w:val="47023E62"/>
    <w:rsid w:val="478B130B"/>
    <w:rsid w:val="48390EAF"/>
    <w:rsid w:val="48D866DA"/>
    <w:rsid w:val="49B26621"/>
    <w:rsid w:val="49BC0317"/>
    <w:rsid w:val="4B6A615F"/>
    <w:rsid w:val="4BDA1722"/>
    <w:rsid w:val="4C7C4E5D"/>
    <w:rsid w:val="4D0915BF"/>
    <w:rsid w:val="4D25119C"/>
    <w:rsid w:val="4EA27515"/>
    <w:rsid w:val="4F0E455A"/>
    <w:rsid w:val="4F7249CF"/>
    <w:rsid w:val="4FF32613"/>
    <w:rsid w:val="501F6E0F"/>
    <w:rsid w:val="50964076"/>
    <w:rsid w:val="516078BB"/>
    <w:rsid w:val="524D2A7B"/>
    <w:rsid w:val="52701FAA"/>
    <w:rsid w:val="52CC730C"/>
    <w:rsid w:val="5309485E"/>
    <w:rsid w:val="53522100"/>
    <w:rsid w:val="536F4346"/>
    <w:rsid w:val="53CC784F"/>
    <w:rsid w:val="53E57826"/>
    <w:rsid w:val="544D0C53"/>
    <w:rsid w:val="54A0450D"/>
    <w:rsid w:val="55C80A7A"/>
    <w:rsid w:val="56C63FCC"/>
    <w:rsid w:val="56C85919"/>
    <w:rsid w:val="58694628"/>
    <w:rsid w:val="58745DA7"/>
    <w:rsid w:val="588D08D6"/>
    <w:rsid w:val="5A3D113D"/>
    <w:rsid w:val="5B396F1B"/>
    <w:rsid w:val="5B68765E"/>
    <w:rsid w:val="5B845E87"/>
    <w:rsid w:val="5CF07594"/>
    <w:rsid w:val="5D3264EE"/>
    <w:rsid w:val="5DC53E5F"/>
    <w:rsid w:val="5E5D0875"/>
    <w:rsid w:val="5F835EE7"/>
    <w:rsid w:val="600A0BE0"/>
    <w:rsid w:val="600E5DE9"/>
    <w:rsid w:val="605B7517"/>
    <w:rsid w:val="60A4038A"/>
    <w:rsid w:val="61793F72"/>
    <w:rsid w:val="618D506A"/>
    <w:rsid w:val="6208650E"/>
    <w:rsid w:val="6309081E"/>
    <w:rsid w:val="630B1D7D"/>
    <w:rsid w:val="63414842"/>
    <w:rsid w:val="63492FA2"/>
    <w:rsid w:val="634F09C7"/>
    <w:rsid w:val="6365299A"/>
    <w:rsid w:val="6399715F"/>
    <w:rsid w:val="63F67255"/>
    <w:rsid w:val="654A0636"/>
    <w:rsid w:val="657616E0"/>
    <w:rsid w:val="65EB4A33"/>
    <w:rsid w:val="666B0D71"/>
    <w:rsid w:val="667C673F"/>
    <w:rsid w:val="6848736B"/>
    <w:rsid w:val="68BD5C70"/>
    <w:rsid w:val="68BF1744"/>
    <w:rsid w:val="69632A84"/>
    <w:rsid w:val="6968489C"/>
    <w:rsid w:val="69F36AAE"/>
    <w:rsid w:val="6A2A0D11"/>
    <w:rsid w:val="6A760323"/>
    <w:rsid w:val="6A7933F5"/>
    <w:rsid w:val="6AE67DAF"/>
    <w:rsid w:val="6B944F23"/>
    <w:rsid w:val="6B9935A9"/>
    <w:rsid w:val="6C5949A2"/>
    <w:rsid w:val="6CCA1E2C"/>
    <w:rsid w:val="6CF34F52"/>
    <w:rsid w:val="6D350189"/>
    <w:rsid w:val="6E3D7683"/>
    <w:rsid w:val="70F0765B"/>
    <w:rsid w:val="713D35E1"/>
    <w:rsid w:val="7149298A"/>
    <w:rsid w:val="714F15CA"/>
    <w:rsid w:val="71B40827"/>
    <w:rsid w:val="73830BD9"/>
    <w:rsid w:val="7561751F"/>
    <w:rsid w:val="758E700F"/>
    <w:rsid w:val="75923940"/>
    <w:rsid w:val="75D516A1"/>
    <w:rsid w:val="76A12A76"/>
    <w:rsid w:val="76AB2DE0"/>
    <w:rsid w:val="76BE053C"/>
    <w:rsid w:val="78672E77"/>
    <w:rsid w:val="78E55F35"/>
    <w:rsid w:val="791063C6"/>
    <w:rsid w:val="79D44111"/>
    <w:rsid w:val="7AEE0744"/>
    <w:rsid w:val="7B157ED4"/>
    <w:rsid w:val="7B866195"/>
    <w:rsid w:val="7C354A28"/>
    <w:rsid w:val="7D1F7084"/>
    <w:rsid w:val="7D354D7F"/>
    <w:rsid w:val="7D8E21C5"/>
    <w:rsid w:val="7E031A2A"/>
    <w:rsid w:val="7E7C108F"/>
    <w:rsid w:val="7F4D0AC6"/>
    <w:rsid w:val="7FA54EFE"/>
    <w:rsid w:val="7FDF2C4C"/>
    <w:rsid w:val="FCF4FF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footnote text"/>
    <w:basedOn w:val="1"/>
    <w:semiHidden/>
    <w:unhideWhenUsed/>
    <w:qFormat/>
    <w:uiPriority w:val="99"/>
    <w:pPr>
      <w:snapToGrid w:val="0"/>
      <w:jc w:val="left"/>
    </w:pPr>
    <w:rPr>
      <w:sz w:val="18"/>
      <w:szCs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footnote reference"/>
    <w:basedOn w:val="7"/>
    <w:semiHidden/>
    <w:unhideWhenUsed/>
    <w:qFormat/>
    <w:uiPriority w:val="99"/>
    <w:rPr>
      <w:vertAlign w:val="superscript"/>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2026-03-17T10:18:00Z</dcterms:created>
  <dc:creator>包昊罡</dc:creator>
  <cp:lastModifiedBy>胡靖凯</cp:lastModifiedBy>
  <dcterms:modified xsi:type="dcterms:W3CDTF">2026-07-03T09:56:28Z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9ED1A9269D974099AF3958C84605285E_11</vt:lpwstr>
  </property>
  <property fmtid="{D5CDD505-2E9C-101B-9397-08002B2CF9AE}" pid="4" name="KSOTemplateDocerSaveRecord">
    <vt:lpwstr>eyJoZGlkIjoiMWEyNjhiNTk3YjJhMTE1NTAwZTY4Y2ExNTM2ZTdjNmYiLCJ1c2VySWQiOiIxNjY4MjA5NTk4In0=</vt:lpwstr>
  </property>
</Properties>
</file>