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720" w:lineRule="exact" w:before="240" w:after="240"/>
        <w:jc w:val="center"/>
      </w:pPr>
      <w:r>
        <w:rPr>
          <w:rFonts w:ascii="方正小标宋简体" w:hAnsi="方正小标宋简体" w:eastAsia="方正小标宋简体"/>
          <w:b w:val="0"/>
          <w:sz w:val="44"/>
        </w:rPr>
        <w:t>国际终身教育趋势与中国对策分析</w:t>
      </w:r>
    </w:p>
    <w:p>
      <w:pPr>
        <w:spacing w:line="560" w:lineRule="exact" w:before="0" w:after="0"/>
        <w:ind w:firstLine="320"/>
      </w:pPr>
      <w:r>
        <w:rPr>
          <w:rFonts w:ascii="仿宋" w:hAnsi="仿宋" w:eastAsia="仿宋"/>
          <w:b w:val="0"/>
          <w:sz w:val="32"/>
        </w:rPr>
        <w:t>近年来，主要经济体密集释放终身教育制度革新信号：欧盟2022年通过微证书共同框架建议，英国2025年成立技能英格兰并启动终身贷款权利制度，韩国持续修订《学分认证法》，新加坡完成新一轮个人学习账户注资。这些动向不是彼此孤立的政策事件，而是全球终身教育从“理念倡导与分散修补”进入“制度化竞赛”新阶段的明确标志。各国正围绕统一资历标准、小微化学习认证、个人需求侧经费机制和专门化统筹治理四大支柱展开系统性制度构建。对我国而言，这既是结构性压力——我国在该领域仍处于立法缺位、资历框架待出、学分银行碎片化的“制度初创期”；也是建构性机会——依托全球最大的潜在学习人口、超1.64亿注册用户的数字平台底座（国家智慧教育平台2025年数据）和强大的中央统筹能力，有可能走出一条以立法为牵引、以平台为承载的跨越式发展路径。</w:t>
      </w:r>
    </w:p>
    <w:p>
      <w:pPr>
        <w:spacing w:line="560" w:lineRule="exact" w:before="240" w:after="120"/>
      </w:pPr>
      <w:r>
        <w:rPr>
          <w:rFonts w:ascii="黑体" w:hAnsi="黑体" w:eastAsia="黑体"/>
          <w:b w:val="0"/>
          <w:sz w:val="32"/>
        </w:rPr>
        <w:t>一、各国动向与可归纳的趋势主线</w:t>
      </w:r>
    </w:p>
    <w:p>
      <w:pPr>
        <w:spacing w:line="560" w:lineRule="exact" w:before="0" w:after="0"/>
        <w:ind w:firstLine="320"/>
      </w:pPr>
      <w:r>
        <w:rPr>
          <w:rFonts w:ascii="仿宋" w:hAnsi="仿宋" w:eastAsia="仿宋"/>
          <w:b w:val="0"/>
          <w:sz w:val="32"/>
        </w:rPr>
        <w:t>多国信号可归并为三条并行且存在因果关联的趋势主线：一是聚焦体系基础要素的“制度化骨架构建”，二是侧重激活学习需求的“需求侧制度激活”，三是回应人口结构剧变的“银龄人力资源开发”转向。</w:t>
      </w:r>
    </w:p>
    <w:p>
      <w:pPr>
        <w:spacing w:line="560" w:lineRule="exact" w:before="120" w:after="60"/>
      </w:pPr>
      <w:r>
        <w:rPr>
          <w:rFonts w:ascii="楷体" w:hAnsi="楷体" w:eastAsia="楷体"/>
          <w:b w:val="0"/>
          <w:sz w:val="32"/>
        </w:rPr>
        <w:t>（一）围绕“统一标准”与“统筹组织”构建制度化骨架</w:t>
      </w:r>
    </w:p>
    <w:p>
      <w:pPr>
        <w:spacing w:line="560" w:lineRule="exact" w:before="0" w:after="0"/>
        <w:ind w:firstLine="320"/>
      </w:pPr>
      <w:r>
        <w:rPr>
          <w:rFonts w:ascii="仿宋" w:hAnsi="仿宋" w:eastAsia="仿宋"/>
          <w:b w:val="0"/>
          <w:sz w:val="32"/>
        </w:rPr>
        <w:t>各国正通过建立学习成果的“度量衡”与推动实施的“组织保障”，为终身教育体系搭建制度基础。</w:t>
      </w:r>
    </w:p>
    <w:p>
      <w:pPr>
        <w:spacing w:line="560" w:lineRule="exact" w:before="0" w:after="0"/>
        <w:ind w:firstLine="320"/>
      </w:pPr>
      <w:r>
        <w:rPr>
          <w:rFonts w:ascii="仿宋" w:hAnsi="仿宋" w:eastAsia="仿宋"/>
          <w:b w:val="0"/>
          <w:sz w:val="32"/>
        </w:rPr>
        <w:t>在学习成果认证方面，多国推动认证向小微化、模块化、可堆叠的微证书体系演进并寻求制度化互认。欧盟2022年通过的微证书共同框架建议，将微证书定义为3至30个ECTS学分的小型学习单元，并建立跨国质量保证与认证框架。新加坡推出WSQ 2.0体系，允许学习者将单个技能模块堆叠为完整的资格认证。韩国于2024年修订《学分认证法》，扩大学分银行可认证的学习成果范围，将更多非正规学习与在线课程纳入国家资格体系。</w:t>
      </w:r>
    </w:p>
    <w:p>
      <w:pPr>
        <w:spacing w:line="560" w:lineRule="exact" w:before="0" w:after="0"/>
        <w:ind w:firstLine="320"/>
      </w:pPr>
      <w:r>
        <w:rPr>
          <w:rFonts w:ascii="仿宋" w:hAnsi="仿宋" w:eastAsia="仿宋"/>
          <w:b w:val="0"/>
          <w:sz w:val="32"/>
        </w:rPr>
        <w:t>在治理机构方面，设立高级别、专职的跨部门统筹机构，成为破解政策碎片化的共同选择。英国于2025年正式运行技能英格兰，作为国家级机构统筹全国技能培训战略与供给。韩国早在2008年即设立国家平生教育振兴院，统筹全国终身教育政策实施与学分银行运营。新加坡法定机构SkillsFuture Singapore承担着统筹国民终身学习和技能提升的最高职能。</w:t>
      </w:r>
    </w:p>
    <w:p>
      <w:pPr>
        <w:spacing w:line="560" w:lineRule="exact" w:before="120" w:after="60"/>
      </w:pPr>
      <w:r>
        <w:rPr>
          <w:rFonts w:ascii="楷体" w:hAnsi="楷体" w:eastAsia="楷体"/>
          <w:b w:val="0"/>
          <w:sz w:val="32"/>
        </w:rPr>
        <w:t>（二）以“个人账户”与“成果变现”激活需求侧制度</w:t>
      </w:r>
    </w:p>
    <w:p>
      <w:pPr>
        <w:spacing w:line="560" w:lineRule="exact" w:before="0" w:after="0"/>
        <w:ind w:firstLine="320"/>
      </w:pPr>
      <w:r>
        <w:rPr>
          <w:rFonts w:ascii="仿宋" w:hAnsi="仿宋" w:eastAsia="仿宋"/>
          <w:b w:val="0"/>
          <w:sz w:val="32"/>
        </w:rPr>
        <w:t>这条主线解决“谁出资、谁受益、技能如何被看见”的问题，通过经费配置和技能价值确认机制，将学习自主权和收益权交还个人。</w:t>
      </w:r>
    </w:p>
    <w:p>
      <w:pPr>
        <w:spacing w:line="560" w:lineRule="exact" w:before="0" w:after="0"/>
        <w:ind w:firstLine="320"/>
      </w:pPr>
      <w:r>
        <w:rPr>
          <w:rFonts w:ascii="仿宋" w:hAnsi="仿宋" w:eastAsia="仿宋"/>
          <w:b w:val="0"/>
          <w:sz w:val="32"/>
        </w:rPr>
        <w:t>在经费机制方面，各国正从“补贴供给方”转向“投资需求方”，个人学习账户成为配置公共资源的核心工具。新加坡2025年向25岁以上公民发放500新元基础学习额度（SkillsFuture Credit），并向40岁以上公民额外充值4000新元（SkillsFuture Level-Up Programme），同步提供培训津贴，实现"资金跟着需求走"的精准投放。英国原定2025年启动终身学习权利（LLE），因实施挑战推迟至2026/27学年正式上线，2025/26学年先期试点Level 4-5模块化课程贷款；该制度将为个人提供相当于四年高等教育水平的终身弹性贷款额度。</w:t>
      </w:r>
    </w:p>
    <w:p>
      <w:pPr>
        <w:spacing w:line="560" w:lineRule="exact" w:before="0" w:after="0"/>
        <w:ind w:firstLine="320"/>
      </w:pPr>
      <w:r>
        <w:rPr>
          <w:rFonts w:ascii="仿宋" w:hAnsi="仿宋" w:eastAsia="仿宋"/>
          <w:b w:val="0"/>
          <w:sz w:val="32"/>
        </w:rPr>
        <w:t>在学习成果认证方面，先前学习认证（RPL）正从边缘口号嵌入国家资历框架和学分银行的核心流程。韩国学分银行内嵌RPL，学习者可通过工作经验、自学和非正规学习成果获得学分乃至学位。据韩国国家平生教育振兴院统计，该系统运行以来已累计为6.8万人授予学位。新加坡WSQ体系同样内嵌这一功能，劳动者凭技能评估即可获得资格认证。这表明，对个体已有技能的认证已从附加福利转变为制度的基础性功能部件。</w:t>
      </w:r>
    </w:p>
    <w:p>
      <w:pPr>
        <w:spacing w:line="560" w:lineRule="exact" w:before="120" w:after="60"/>
      </w:pPr>
      <w:r>
        <w:rPr>
          <w:rFonts w:ascii="楷体" w:hAnsi="楷体" w:eastAsia="楷体"/>
          <w:b w:val="0"/>
          <w:sz w:val="32"/>
        </w:rPr>
        <w:t>（三）围绕深度老龄化压力形成“银龄人力资源开发”的制度转向</w:t>
      </w:r>
    </w:p>
    <w:p>
      <w:pPr>
        <w:spacing w:line="560" w:lineRule="exact" w:before="0" w:after="0"/>
        <w:ind w:firstLine="320"/>
      </w:pPr>
      <w:r>
        <w:rPr>
          <w:rFonts w:ascii="仿宋" w:hAnsi="仿宋" w:eastAsia="仿宋"/>
          <w:b w:val="0"/>
          <w:sz w:val="32"/>
        </w:rPr>
        <w:t>在人口结构剧变驱动下，终身教育正从“民生福利”工程转向支撑老年人力资源开发的经济社会基础设施，其核心指标正从“入学率”变为“覆盖率”。</w:t>
      </w:r>
    </w:p>
    <w:p>
      <w:pPr>
        <w:spacing w:line="560" w:lineRule="exact" w:before="0" w:after="0"/>
        <w:ind w:firstLine="320"/>
      </w:pPr>
      <w:r>
        <w:rPr>
          <w:rFonts w:ascii="仿宋" w:hAnsi="仿宋" w:eastAsia="仿宋"/>
          <w:b w:val="0"/>
          <w:sz w:val="32"/>
        </w:rPr>
        <w:t>韩国将终身教育作为延长劳动参与年限的关键工具。其第5次平生教育振兴基本计划（2023—2027年）明确将成人参与率目标设为40%，2024年实际参与率已达33.1%（韩国国家平生教育振兴院2024年统计），本质是激励老年人再学习、再就业。新加坡2025年SkillsFuture Credit专门向40岁以上公民倾斜培训津贴，直接回应劳动力老龄化压力。日本针对65岁以上人口占比约30%（OECD 2024年数据）的困境，持续增加社会人再教育预算，试图以技能更新补偿劳动力萎缩。欧盟技能议程同样将应对老龄化和延长工作寿命列为核心驱动力。这些信号表明，老年教育正从康养娱乐定位，升级为积极的劳动力市场政策工具。</w:t>
      </w:r>
    </w:p>
    <w:p>
      <w:pPr>
        <w:spacing w:line="560" w:lineRule="exact" w:before="240" w:after="120"/>
      </w:pPr>
      <w:r>
        <w:rPr>
          <w:rFonts w:ascii="黑体" w:hAnsi="黑体" w:eastAsia="黑体"/>
          <w:b w:val="0"/>
          <w:sz w:val="32"/>
        </w:rPr>
        <w:t>二、趋势背后的结构性驱动力与所处阶段研判</w:t>
      </w:r>
    </w:p>
    <w:p>
      <w:pPr>
        <w:spacing w:line="560" w:lineRule="exact" w:before="0" w:after="0"/>
        <w:ind w:firstLine="320"/>
      </w:pPr>
      <w:r>
        <w:rPr>
          <w:rFonts w:ascii="仿宋" w:hAnsi="仿宋" w:eastAsia="仿宋"/>
          <w:b w:val="0"/>
          <w:sz w:val="32"/>
        </w:rPr>
        <w:t>上述趋势的出现并非偶然，而是技术变革、人口结构剧变和国际组织议程共同驱动的结果。</w:t>
      </w:r>
    </w:p>
    <w:p>
      <w:pPr>
        <w:spacing w:line="560" w:lineRule="exact" w:before="120" w:after="0"/>
        <w:ind w:firstLine="320"/>
      </w:pPr>
      <w:r>
        <w:rPr>
          <w:rFonts w:ascii="仿宋" w:hAnsi="仿宋" w:eastAsia="仿宋"/>
          <w:b/>
          <w:sz w:val="32"/>
        </w:rPr>
        <w:t>根本驱动力来自技能半衰期急剧缩短与不可逆的人口老龄化。</w:t>
      </w:r>
      <w:r>
        <w:rPr>
          <w:rFonts w:ascii="仿宋" w:hAnsi="仿宋" w:eastAsia="仿宋"/>
          <w:b w:val="0"/>
          <w:sz w:val="32"/>
        </w:rPr>
        <w:t>据经合组织《2024年技能展望》报告，人工智能等技术普及加速技能迭代，技术技能的平均有效期已从约5年缩短至2至3年，迫使劳动者以更短周期、更轻量方式更新技能，催生了微证书和模块化学习的刚性需求。同时，深度老龄化构成持续压力：韩国2023年总和生育率低至0.72，劳动年龄人口持续缩减；日本65岁以上人口占比已约30%。此外，联合国教科文组织《马拉喀什行动框架（2022—2037）》将终身学习定位为基本权利，经合组织持续建议成员国建立“从摇篮到退休”的制度体系，构成了推动各国内部改革的国际议程推力。</w:t>
      </w:r>
    </w:p>
    <w:p>
      <w:pPr>
        <w:spacing w:line="560" w:lineRule="exact" w:before="120" w:after="0"/>
        <w:ind w:firstLine="320"/>
      </w:pPr>
      <w:r>
        <w:rPr>
          <w:rFonts w:ascii="仿宋" w:hAnsi="仿宋" w:eastAsia="仿宋"/>
          <w:b/>
          <w:sz w:val="32"/>
        </w:rPr>
        <w:t>就趋势的成熟度而言，全球呈现清晰的制度“光谱”。</w:t>
      </w:r>
    </w:p>
    <w:p>
      <w:pPr>
        <w:spacing w:line="560" w:lineRule="exact" w:before="120" w:after="0"/>
        <w:ind w:firstLine="320"/>
      </w:pPr>
      <w:r>
        <w:rPr>
          <w:rFonts w:ascii="仿宋" w:hAnsi="仿宋" w:eastAsia="仿宋"/>
          <w:b/>
          <w:sz w:val="32"/>
        </w:rPr>
        <w:t>学习成果认证小微化与制度化互认：扩散中（由制度化向成熟扩散）。</w:t>
      </w:r>
      <w:r>
        <w:rPr>
          <w:rFonts w:ascii="仿宋" w:hAnsi="仿宋" w:eastAsia="仿宋"/>
          <w:b w:val="0"/>
          <w:sz w:val="32"/>
        </w:rPr>
        <w:t>韩国学分银行运行26年，覆盖非正规学习认证，属于高度制度化标杆；欧盟微证书框架已于2022年通过，正处于推动成员国采纳的早期扩散阶段；新加坡WSQ 2.0已完成制度化迭代。全球已越过“是否要做”的讨论期，进入“如何建立统一标准”的阶段。</w:t>
      </w:r>
    </w:p>
    <w:p>
      <w:pPr>
        <w:spacing w:line="560" w:lineRule="exact" w:before="120" w:after="0"/>
        <w:ind w:firstLine="320"/>
      </w:pPr>
      <w:r>
        <w:rPr>
          <w:rFonts w:ascii="仿宋" w:hAnsi="仿宋" w:eastAsia="仿宋"/>
          <w:b/>
          <w:sz w:val="32"/>
        </w:rPr>
        <w:t>个人学习账户成为经费核心工具：扩散中（部分先行者已制度化成熟）。</w:t>
      </w:r>
      <w:r>
        <w:rPr>
          <w:rFonts w:ascii="仿宋" w:hAnsi="仿宋" w:eastAsia="仿宋"/>
          <w:b w:val="0"/>
          <w:sz w:val="32"/>
        </w:rPr>
        <w:t>新加坡账户制运行10年并持续充值，属于高度成熟形态；英国终身学习权利（LLE）2025年刚进入试点，是将个人贷款权利终身化的制度创新。该趋势呈现从现金充值、到记录系统、再到贷款权利的功能分化态势。</w:t>
      </w:r>
    </w:p>
    <w:p>
      <w:pPr>
        <w:spacing w:line="560" w:lineRule="exact" w:before="120" w:after="0"/>
        <w:ind w:firstLine="320"/>
      </w:pPr>
      <w:r>
        <w:rPr>
          <w:rFonts w:ascii="仿宋" w:hAnsi="仿宋" w:eastAsia="仿宋"/>
          <w:b/>
          <w:sz w:val="32"/>
        </w:rPr>
        <w:t>先前学习认证嵌入制度核心：已制度化（部分成熟）。</w:t>
      </w:r>
      <w:r>
        <w:rPr>
          <w:rFonts w:ascii="仿宋" w:hAnsi="仿宋" w:eastAsia="仿宋"/>
          <w:b w:val="0"/>
          <w:sz w:val="32"/>
        </w:rPr>
        <w:t>韩国和新加坡的RPL已是运行多年的成熟制度，欧盟多国将工作经验转化为高等教育学分的APEL制度持续扩展。该趋势不再是“新概念”，而是建立终身学习制度时必须建设的基础功能模块。</w:t>
      </w:r>
    </w:p>
    <w:p>
      <w:pPr>
        <w:spacing w:line="560" w:lineRule="exact" w:before="120" w:after="0"/>
        <w:ind w:firstLine="320"/>
      </w:pPr>
      <w:r>
        <w:rPr>
          <w:rFonts w:ascii="仿宋" w:hAnsi="仿宋" w:eastAsia="仿宋"/>
          <w:b/>
          <w:sz w:val="32"/>
        </w:rPr>
        <w:t>银龄人力资源开发转向：扩散中（模式转型进行时）。</w:t>
      </w:r>
      <w:r>
        <w:rPr>
          <w:rFonts w:ascii="仿宋" w:hAnsi="仿宋" w:eastAsia="仿宋"/>
          <w:b w:val="0"/>
          <w:sz w:val="32"/>
        </w:rPr>
        <w:t>韩国和新加坡已将人口结构变化逻辑嵌入国家核心技能战略，是先行者。多数国家尚处于认识但未系统性制度化的阶段。全球正经历从“老年大学”福利模式向“银龄人力资源开发”投资模式的转型。</w:t>
      </w:r>
    </w:p>
    <w:p>
      <w:pPr>
        <w:spacing w:line="560" w:lineRule="exact" w:before="0" w:after="0"/>
        <w:ind w:firstLine="320"/>
      </w:pPr>
      <w:r>
        <w:rPr>
          <w:rFonts w:ascii="仿宋" w:hAnsi="仿宋" w:eastAsia="仿宋"/>
          <w:b w:val="0"/>
          <w:sz w:val="32"/>
        </w:rPr>
        <w:t>需警惕的“形式制度化”陷阱： 日本虽早在1988年即设立终身学习局、1990年颁布《生涯学習振興法》，但受限于经费投入规模和认证体系便利性不足，成人学习参与率长期偏低。这警示，立法和机构设立是必要条件而非充分条件，制度实效取决于经费、认证等核心配套机制是否贯通。</w:t>
      </w:r>
    </w:p>
    <w:p>
      <w:pPr>
        <w:spacing w:line="560" w:lineRule="exact" w:before="0" w:after="0"/>
        <w:ind w:firstLine="320"/>
      </w:pPr>
      <w:r>
        <w:rPr>
          <w:rFonts w:ascii="仿宋" w:hAnsi="仿宋" w:eastAsia="仿宋"/>
          <w:b w:val="0"/>
          <w:sz w:val="32"/>
        </w:rPr>
        <w:t>对于证据尚弱的“萌芽信号”，如美国部分州推行的免费社区大学项目因缺乏全国统一标准，应降级为局部探索，不宜视为可复制的主流路径。</w:t>
      </w:r>
    </w:p>
    <w:p>
      <w:pPr>
        <w:spacing w:line="560" w:lineRule="exact" w:before="240" w:after="120"/>
      </w:pPr>
      <w:r>
        <w:rPr>
          <w:rFonts w:ascii="黑体" w:hAnsi="黑体" w:eastAsia="黑体"/>
          <w:b w:val="0"/>
          <w:sz w:val="32"/>
        </w:rPr>
        <w:t>三、我国在终身教育制度化竞赛中的位置、差距与所受冲击</w:t>
      </w:r>
    </w:p>
    <w:p>
      <w:pPr>
        <w:spacing w:line="560" w:lineRule="exact" w:before="0" w:after="0"/>
        <w:ind w:firstLine="320"/>
      </w:pPr>
      <w:r>
        <w:rPr>
          <w:rFonts w:ascii="仿宋" w:hAnsi="仿宋" w:eastAsia="仿宋"/>
          <w:b w:val="0"/>
          <w:sz w:val="32"/>
        </w:rPr>
        <w:t>面对这一制度化竞赛，我国整体处于“制度初创期”，在构成终身教育体系的核心要素上存在系统性缺口。</w:t>
      </w:r>
    </w:p>
    <w:p>
      <w:pPr>
        <w:spacing w:line="560" w:lineRule="exact" w:before="120" w:after="0"/>
        <w:ind w:firstLine="320"/>
      </w:pPr>
      <w:r>
        <w:rPr>
          <w:rFonts w:ascii="仿宋" w:hAnsi="仿宋" w:eastAsia="仿宋"/>
          <w:b/>
          <w:sz w:val="32"/>
        </w:rPr>
        <w:t>在制度骨架方面，最突出的短板是立法缺位与统筹机构缺失。</w:t>
      </w:r>
      <w:r>
        <w:rPr>
          <w:rFonts w:ascii="仿宋" w:hAnsi="仿宋" w:eastAsia="仿宋"/>
          <w:b w:val="0"/>
          <w:sz w:val="32"/>
        </w:rPr>
        <w:t>截至当前，国家层面《终身教育法》仍未出台，仅有上海、福建等6个地方性条例。这导致国家资历框架、学分银行等关键制度缺乏统一的法律依据和强制力。同时，我国缺乏一个如韩国平生教育振兴院或英国技能英格兰那样的高级别跨部门统筹机构，教育部内设部门的职责范围有限，无法打破教育、人社、民政等部门间的行政壁垒，这是国家资历框架等核心改革长期难以落地的关键组织障碍。</w:t>
      </w:r>
    </w:p>
    <w:p>
      <w:pPr>
        <w:spacing w:line="560" w:lineRule="exact" w:before="120" w:after="0"/>
        <w:ind w:firstLine="320"/>
      </w:pPr>
      <w:r>
        <w:rPr>
          <w:rFonts w:ascii="仿宋" w:hAnsi="仿宋" w:eastAsia="仿宋"/>
          <w:b/>
          <w:sz w:val="32"/>
        </w:rPr>
        <w:t>在认证体系方面，关键短板是资历框架待出与学分银行碎片化。</w:t>
      </w:r>
      <w:r>
        <w:rPr>
          <w:rFonts w:ascii="仿宋" w:hAnsi="仿宋" w:eastAsia="仿宋"/>
          <w:b w:val="0"/>
          <w:sz w:val="32"/>
        </w:rPr>
        <w:t>《教育强国建设规划纲要（2024—2035年）》虽已明确“构建以资历框架为基础”的制度蓝图，但国家资历框架至今尚未正式出台。国家开放大学学分银行虽已为2223万学习者提供服务（国家开放大学2025年数据），但总体呈现“区域性、零散性、局部性”特征，各分中心标准不一，跨省互认不足。对非正规、非正式学习成果的认证，尤其是针对个体工作经验与技能的先前学习认证，几乎处于空白状态。</w:t>
      </w:r>
    </w:p>
    <w:p>
      <w:pPr>
        <w:spacing w:line="560" w:lineRule="exact" w:before="120" w:after="0"/>
        <w:ind w:firstLine="320"/>
      </w:pPr>
      <w:r>
        <w:rPr>
          <w:rFonts w:ascii="仿宋" w:hAnsi="仿宋" w:eastAsia="仿宋"/>
          <w:b/>
          <w:sz w:val="32"/>
        </w:rPr>
        <w:t>在需求侧激活方面，个人学习账户缺位，经费投放机制有待优化。</w:t>
      </w:r>
      <w:r>
        <w:rPr>
          <w:rFonts w:ascii="仿宋" w:hAnsi="仿宋" w:eastAsia="仿宋"/>
          <w:b w:val="0"/>
          <w:sz w:val="32"/>
        </w:rPr>
        <w:t>当前培训补贴仍以供给方为主，精准度和效率不足，公民缺乏一个能记录其一生学习轨迹并据此获得支持的个人数字账户。</w:t>
      </w:r>
    </w:p>
    <w:p>
      <w:pPr>
        <w:spacing w:line="560" w:lineRule="exact" w:before="120" w:after="0"/>
        <w:ind w:firstLine="320"/>
      </w:pPr>
      <w:r>
        <w:rPr>
          <w:rFonts w:ascii="仿宋" w:hAnsi="仿宋" w:eastAsia="仿宋"/>
          <w:b/>
          <w:sz w:val="32"/>
        </w:rPr>
        <w:t>在最终应用场景方面，老年教育覆盖率极低是最大的结构性压力。</w:t>
      </w:r>
      <w:r>
        <w:rPr>
          <w:rFonts w:ascii="仿宋" w:hAnsi="仿宋" w:eastAsia="仿宋"/>
          <w:b w:val="0"/>
          <w:sz w:val="32"/>
        </w:rPr>
        <w:t>我国有近3亿老年人（第七次全国人口普查数据），但各级各类老年大学仅能覆盖约8%的需求（中国老年大学协会2023年统计），且定位偏向康养娱乐。这不仅关乎教育公平，更将影响我国积极应对人口老龄化战略的实施效果和劳动力市场的可持续性。</w:t>
      </w:r>
    </w:p>
    <w:p>
      <w:pPr>
        <w:spacing w:line="560" w:lineRule="exact" w:before="240" w:after="120"/>
      </w:pPr>
      <w:r>
        <w:rPr>
          <w:rFonts w:ascii="黑体" w:hAnsi="黑体" w:eastAsia="黑体"/>
          <w:b w:val="0"/>
          <w:sz w:val="32"/>
        </w:rPr>
        <w:t>四、对策建议</w:t>
      </w:r>
    </w:p>
    <w:p>
      <w:pPr>
        <w:spacing w:line="560" w:lineRule="exact" w:before="0" w:after="0"/>
        <w:ind w:firstLine="320"/>
      </w:pPr>
      <w:r>
        <w:rPr>
          <w:rFonts w:ascii="仿宋" w:hAnsi="仿宋" w:eastAsia="仿宋"/>
          <w:b w:val="0"/>
          <w:sz w:val="32"/>
        </w:rPr>
        <w:t>面对国际制度化竞赛的压力，我国对策不宜点状修补或逐项追赶，而应抓住“补骨架”的战略窗口，利用后发优势和已有制度载体，分阶段搭建系统制度框架。</w:t>
      </w:r>
    </w:p>
    <w:p>
      <w:pPr>
        <w:spacing w:line="560" w:lineRule="exact" w:before="120" w:after="60"/>
      </w:pPr>
      <w:r>
        <w:rPr>
          <w:rFonts w:ascii="楷体" w:hAnsi="楷体" w:eastAsia="楷体"/>
          <w:b w:val="0"/>
          <w:sz w:val="32"/>
        </w:rPr>
        <w:t>（一）近期动作（1—2年可启动）</w:t>
      </w:r>
    </w:p>
    <w:p>
      <w:pPr>
        <w:spacing w:line="560" w:lineRule="exact" w:before="120" w:after="0"/>
        <w:ind w:firstLine="320"/>
      </w:pPr>
      <w:r>
        <w:rPr>
          <w:rFonts w:ascii="仿宋" w:hAnsi="仿宋" w:eastAsia="仿宋"/>
          <w:b/>
          <w:sz w:val="32"/>
        </w:rPr>
        <w:t>第一，加速启动《国家终身教育法》立法程序，依法设立国家终身教育委员会。</w:t>
      </w:r>
      <w:r>
        <w:rPr>
          <w:rFonts w:ascii="仿宋" w:hAnsi="仿宋" w:eastAsia="仿宋"/>
          <w:b w:val="0"/>
          <w:sz w:val="32"/>
        </w:rPr>
        <w:t>直接回应“立法缺位”与“统筹机构缺失”这两项根本性制度空白，顺应国际已步入制度化竞赛的成熟趋势。建议由教育部牵头组建立法研究专班，加快法律草案起草，明确终身教育的战略地位、各级政府权责、经费保障机制，确立国家资历框架与学分银行的法律地位。若立法周期较长，可先由国务院出台《终身教育促进条例》作为过渡。法律应授权设立“国家终身教育委员会”作为跨部门议事协调机构，赋予统筹规划、标准制定和监督评估等职能，以高位阶立法和实体化机构结束“无法可依、多头分治”局面。需防范委员会权限虚化，同步压实地方实施责任，避免重蹈日本“有机构无实效”的覆辙。</w:t>
      </w:r>
    </w:p>
    <w:p>
      <w:pPr>
        <w:spacing w:line="560" w:lineRule="exact" w:before="120" w:after="0"/>
        <w:ind w:firstLine="320"/>
      </w:pPr>
      <w:r>
        <w:rPr>
          <w:rFonts w:ascii="仿宋" w:hAnsi="仿宋" w:eastAsia="仿宋"/>
          <w:b/>
          <w:sz w:val="32"/>
        </w:rPr>
        <w:t>第二，依托开放大学体系启动“学分银行2.0”与先前学习认证试点。</w:t>
      </w:r>
      <w:r>
        <w:rPr>
          <w:rFonts w:ascii="仿宋" w:hAnsi="仿宋" w:eastAsia="仿宋"/>
          <w:b w:val="0"/>
          <w:sz w:val="32"/>
        </w:rPr>
        <w:t>直接回扣“学习成果认证制度化”的国际趋势，瞄准我国“资历框架缺位、学分银行碎片化”的短板。由国家开放大学牵头，将现有学分银行升级为“国家终身教育学分银行”，盘活其覆盖全国的四级办学网络和75家学习成果认证分中心。近期选取先进制造、养老护理等2至3个技能评价较成熟的行业，对已移交人社部的447个X证书目录进行“微证书化”改造，试点“技能经验认定学分、学分兑换资历”的先前学习认证流程，形成可复制的评估工具和操作规范。须配套严格的第三方评估机制防止学历膨胀，中西部推广需预留本地化改造窗口。</w:t>
      </w:r>
    </w:p>
    <w:p>
      <w:pPr>
        <w:spacing w:line="560" w:lineRule="exact" w:before="120" w:after="0"/>
        <w:ind w:firstLine="320"/>
      </w:pPr>
      <w:r>
        <w:rPr>
          <w:rFonts w:ascii="仿宋" w:hAnsi="仿宋" w:eastAsia="仿宋"/>
          <w:b/>
          <w:sz w:val="32"/>
        </w:rPr>
        <w:t>第三，在国家智慧教育平台上线“全民终身学习数字账户”基础记录版。</w:t>
      </w:r>
      <w:r>
        <w:rPr>
          <w:rFonts w:ascii="仿宋" w:hAnsi="仿宋" w:eastAsia="仿宋"/>
          <w:b w:val="0"/>
          <w:sz w:val="32"/>
        </w:rPr>
        <w:t>回扣“个人学习账户成为核心工具”的国际动向，解决我国个人学习记录系统缺失的问题。在平台1.64亿注册用户基础上，增设“数字账户”功能模块，自动记录学习、自测和证书获取轨迹，形成个人“能力图谱”。近期仅作学习档案，不与现金补贴挂钩，以零财政增量建立数据基础。中期可与人社部门职业培训券系统打通，使账户成为申领政府培训资助的统一入口，实现经费投放精准化。须提前建立用户数据最小化采集与隐私保护机制，并明确宣传阶段性定位，防止引发“即将发钱”的舆情误读。</w:t>
      </w:r>
    </w:p>
    <w:p>
      <w:pPr>
        <w:spacing w:line="560" w:lineRule="exact" w:before="120" w:after="60"/>
      </w:pPr>
      <w:r>
        <w:rPr>
          <w:rFonts w:ascii="楷体" w:hAnsi="楷体" w:eastAsia="楷体"/>
          <w:b w:val="0"/>
          <w:sz w:val="32"/>
        </w:rPr>
        <w:t>（二）中期制度建设（3—5年）</w:t>
      </w:r>
    </w:p>
    <w:p>
      <w:pPr>
        <w:spacing w:line="560" w:lineRule="exact" w:before="120" w:after="0"/>
        <w:ind w:firstLine="320"/>
      </w:pPr>
      <w:r>
        <w:rPr>
          <w:rFonts w:ascii="仿宋" w:hAnsi="仿宋" w:eastAsia="仿宋"/>
          <w:b/>
          <w:sz w:val="32"/>
        </w:rPr>
        <w:t>第四，系统实施“银龄人力资源开发计划”，将老年教育覆盖率纳入地方政府履行教育职责评价。</w:t>
      </w:r>
      <w:r>
        <w:rPr>
          <w:rFonts w:ascii="仿宋" w:hAnsi="仿宋" w:eastAsia="仿宋"/>
          <w:b w:val="0"/>
          <w:sz w:val="32"/>
        </w:rPr>
        <w:t>回应“老年教育转向人力开发”的全球趋势及我国“覆盖率仅约8%”的巨大短板。以国家老年大学及其8.2万个基层学习点为骨架，强化其“培训—认证—就业对接”功能，开发面向低龄老人的职业技能课程和社区志愿服务认证项目，使“老有所学”转化为“老有所为”。将老年教育覆盖率作为约束性指标纳入地方教育发展规划和考核体系，省级先行试点考核标准，标准成熟后再全国推开。需警惕为完成覆盖率指标搞“数字游戏”，应将教育质量与就业转化纳入考核。</w:t>
      </w:r>
    </w:p>
    <w:p>
      <w:pPr>
        <w:spacing w:line="560" w:lineRule="exact" w:before="120" w:after="0"/>
        <w:ind w:firstLine="320"/>
      </w:pPr>
      <w:r>
        <w:rPr>
          <w:rFonts w:ascii="仿宋" w:hAnsi="仿宋" w:eastAsia="仿宋"/>
          <w:b/>
          <w:sz w:val="32"/>
        </w:rPr>
        <w:t>第五，构建国家微证书标准与质量保障体系，培育产教融合品牌。</w:t>
      </w:r>
      <w:r>
        <w:rPr>
          <w:rFonts w:ascii="仿宋" w:hAnsi="仿宋" w:eastAsia="仿宋"/>
          <w:b w:val="0"/>
          <w:sz w:val="32"/>
        </w:rPr>
        <w:t>回扣“微证书体系制度化竞争”的国际趋势。须以近期立法确立的资历框架为前提，从国家产教融合企业和职业技能竞赛获奖成果中萃取高含金量的能力模块，转化为自带产业基因的国家级微证书，不走“先设计标准后找产业”的老路。由拟设的国家终身教育委员会统一背书，建立“遴选—授权—监督—退出”的闭环管理机制，防止“证出多门”。</w:t>
      </w:r>
    </w:p>
    <w:p>
      <w:pPr>
        <w:spacing w:line="560" w:lineRule="exact" w:before="120" w:after="0"/>
        <w:ind w:firstLine="320"/>
      </w:pPr>
      <w:r>
        <w:rPr>
          <w:rFonts w:ascii="仿宋" w:hAnsi="仿宋" w:eastAsia="仿宋"/>
          <w:b/>
          <w:sz w:val="32"/>
        </w:rPr>
        <w:t>第六，加快推进社区教育法定化，以“员额制+政府购买服务”破解基层人员身份困境。</w:t>
      </w:r>
      <w:r>
        <w:rPr>
          <w:rFonts w:ascii="仿宋" w:hAnsi="仿宋" w:eastAsia="仿宋"/>
          <w:b w:val="0"/>
          <w:sz w:val="32"/>
        </w:rPr>
        <w:t>针对我国独有的“社区教育未入国民序列、专职人员无培养途径、无职称序列、无岗位编制”短板。建议在《终身教育法》中明确社区教育的法定地位。先在国家级社区教育实验区/示范区试点“员额制”与政府购买服务相结合的用人模式，支持师范院校开设社区教育方向，待财力与编制空间改善后逐步推开。需审慎评估财政承载能力，防止基层社区机关化、脱离群众。</w:t>
      </w:r>
    </w:p>
    <w:p>
      <w:pPr>
        <w:spacing w:line="560" w:lineRule="exact" w:before="120" w:after="60"/>
      </w:pPr>
      <w:r>
        <w:rPr>
          <w:rFonts w:ascii="楷体" w:hAnsi="楷体" w:eastAsia="楷体"/>
          <w:b w:val="0"/>
          <w:sz w:val="32"/>
        </w:rPr>
        <w:t>（三）长期前瞻布局</w:t>
      </w:r>
    </w:p>
    <w:p>
      <w:pPr>
        <w:spacing w:line="560" w:lineRule="exact" w:before="120" w:after="0"/>
        <w:ind w:firstLine="320"/>
      </w:pPr>
      <w:r>
        <w:rPr>
          <w:rFonts w:ascii="仿宋" w:hAnsi="仿宋" w:eastAsia="仿宋"/>
          <w:b/>
          <w:sz w:val="32"/>
        </w:rPr>
        <w:t>第七，探索基于个人学习账户的终身学习经费弹性供给机制。</w:t>
      </w:r>
      <w:r>
        <w:rPr>
          <w:rFonts w:ascii="仿宋" w:hAnsi="仿宋" w:eastAsia="仿宋"/>
          <w:b w:val="0"/>
          <w:sz w:val="32"/>
        </w:rPr>
        <w:t>面向个人学习账户从记录工具升级为公共资源配置杠杆的国际深化方向。待数字账户记录功能稳定、跨部门数据接口协商落地后，选取1至2个数字化施政能力强的地方，试行“学习积分兑换培训补贴”小规模实验，评估其对学习行为的激励效果。资金应来源于整合盘活现有分散的培训补贴渠道，严守不给学习者增加个人债务的底线，避免照搬英国贷款模式。</w:t>
      </w:r>
    </w:p>
    <w:p>
      <w:pPr>
        <w:spacing w:line="560" w:lineRule="exact" w:before="120" w:after="0"/>
        <w:ind w:firstLine="320"/>
      </w:pPr>
      <w:r>
        <w:rPr>
          <w:rFonts w:ascii="仿宋" w:hAnsi="仿宋" w:eastAsia="仿宋"/>
          <w:b/>
          <w:sz w:val="32"/>
        </w:rPr>
        <w:t>第八，推动中国微证书标准与国际资历框架的区域性互认。</w:t>
      </w:r>
      <w:r>
        <w:rPr>
          <w:rFonts w:ascii="仿宋" w:hAnsi="仿宋" w:eastAsia="仿宋"/>
          <w:b w:val="0"/>
          <w:sz w:val="32"/>
        </w:rPr>
        <w:t>面向微证书制度全球化的长期趋势。依托“一带一路”职教合作项目，嵌入中国微证书单元进行小规模联合认证；在自由贸易试验区或海南自贸港，试行对境外微证书的等效认可和境内反向输出。同步参与联合国教科文组织、国际劳工组织等框架对话，培养标准领域专业人才。互认不得突破教育主权和最低质量底线，初期只做对等便利化，暂不承诺自动承认所有外方证书。</w:t>
      </w:r>
    </w:p>
    <w:p>
      <w:pPr>
        <w:spacing w:line="560" w:lineRule="exact" w:before="120" w:after="0"/>
        <w:ind w:firstLine="320"/>
      </w:pPr>
      <w:r>
        <w:rPr>
          <w:rFonts w:ascii="仿宋" w:hAnsi="仿宋" w:eastAsia="仿宋"/>
          <w:b/>
          <w:sz w:val="32"/>
        </w:rPr>
        <w:t>第九，建立国家终身学习监测评估与数据发布机制。</w:t>
      </w:r>
      <w:r>
        <w:rPr>
          <w:rFonts w:ascii="仿宋" w:hAnsi="仿宋" w:eastAsia="仿宋"/>
          <w:b w:val="0"/>
          <w:sz w:val="32"/>
        </w:rPr>
        <w:t>面向数据驱动循证治理的长期趋势。由拟设的国家终身教育委员会牵头，先整合教育部与人社部既有培训、学习数据，定义“成人学习参与率”“学分银行活跃度”“老年教育覆盖率”等核心指标，试发布年度《中国全民终身学习发展报告》。逐步将关键指标纳入教育现代化监测，向地方传导信息压力，却不立即硬化成考核排名。初期数据指标宜简不宜繁，杜绝重复采集，防止基层为迎评制造“数字政绩”。</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