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ED3FD" w14:textId="0EB11178" w:rsidR="001176A2" w:rsidRPr="00DD12B0" w:rsidRDefault="00785A56" w:rsidP="008F2454">
      <w:pPr>
        <w:pStyle w:val="Heading1"/>
        <w:jc w:val="both"/>
        <w:rPr>
          <w:rFonts w:cs="Times New Roman"/>
          <w:sz w:val="28"/>
          <w:szCs w:val="28"/>
        </w:rPr>
      </w:pPr>
      <w:r w:rsidRPr="00DD12B0">
        <w:rPr>
          <w:rFonts w:cs="Times New Roman"/>
          <w:sz w:val="28"/>
          <w:szCs w:val="28"/>
        </w:rPr>
        <w:t>C</w:t>
      </w:r>
      <w:r w:rsidR="001176A2" w:rsidRPr="00DD12B0">
        <w:rPr>
          <w:rFonts w:cs="Times New Roman"/>
          <w:sz w:val="28"/>
          <w:szCs w:val="28"/>
        </w:rPr>
        <w:t xml:space="preserve">omparison </w:t>
      </w:r>
      <w:r w:rsidRPr="00DD12B0">
        <w:rPr>
          <w:rFonts w:cs="Times New Roman"/>
          <w:sz w:val="28"/>
          <w:szCs w:val="28"/>
        </w:rPr>
        <w:t xml:space="preserve">between </w:t>
      </w:r>
      <w:r w:rsidR="00DD12B0" w:rsidRPr="00DD12B0">
        <w:rPr>
          <w:rFonts w:cs="Times New Roman"/>
          <w:sz w:val="28"/>
          <w:szCs w:val="28"/>
        </w:rPr>
        <w:t>D</w:t>
      </w:r>
      <w:r w:rsidR="00C81833" w:rsidRPr="00DD12B0">
        <w:rPr>
          <w:rFonts w:cs="Times New Roman"/>
          <w:sz w:val="28"/>
          <w:szCs w:val="28"/>
        </w:rPr>
        <w:t xml:space="preserve">ecision </w:t>
      </w:r>
      <w:r w:rsidR="00DD12B0" w:rsidRPr="00DD12B0">
        <w:rPr>
          <w:rFonts w:cs="Times New Roman"/>
          <w:sz w:val="28"/>
          <w:szCs w:val="28"/>
        </w:rPr>
        <w:t>T</w:t>
      </w:r>
      <w:r w:rsidR="00C81833" w:rsidRPr="00DD12B0">
        <w:rPr>
          <w:rFonts w:cs="Times New Roman"/>
          <w:sz w:val="28"/>
          <w:szCs w:val="28"/>
        </w:rPr>
        <w:t>ree</w:t>
      </w:r>
      <w:r w:rsidR="00DD12B0" w:rsidRPr="00DD12B0">
        <w:rPr>
          <w:rFonts w:cs="Times New Roman"/>
          <w:sz w:val="28"/>
          <w:szCs w:val="28"/>
        </w:rPr>
        <w:t>s</w:t>
      </w:r>
      <w:r w:rsidRPr="00DD12B0">
        <w:rPr>
          <w:rFonts w:cs="Times New Roman"/>
          <w:sz w:val="28"/>
          <w:szCs w:val="28"/>
        </w:rPr>
        <w:t xml:space="preserve"> and </w:t>
      </w:r>
      <w:r w:rsidR="00DD12B0" w:rsidRPr="00DD12B0">
        <w:rPr>
          <w:rFonts w:cs="Times New Roman"/>
          <w:sz w:val="28"/>
          <w:szCs w:val="28"/>
        </w:rPr>
        <w:t xml:space="preserve">Support-Vector Machines </w:t>
      </w:r>
      <w:r w:rsidR="001176A2" w:rsidRPr="00DD12B0">
        <w:rPr>
          <w:rFonts w:cs="Times New Roman"/>
          <w:sz w:val="28"/>
          <w:szCs w:val="28"/>
        </w:rPr>
        <w:t>for Grade Prediction</w:t>
      </w:r>
    </w:p>
    <w:p w14:paraId="1C8DACBE" w14:textId="41B394D8" w:rsidR="001176A2" w:rsidRDefault="006968D5" w:rsidP="008F2454">
      <w:pPr>
        <w:pStyle w:val="Heading2"/>
        <w:jc w:val="both"/>
      </w:pPr>
      <w:r>
        <w:t>Introduction</w:t>
      </w:r>
    </w:p>
    <w:p w14:paraId="385FC255" w14:textId="6F03B402" w:rsidR="004F2103" w:rsidRDefault="00A147CB" w:rsidP="008F2454">
      <w:pPr>
        <w:jc w:val="both"/>
      </w:pPr>
      <w:r>
        <w:t xml:space="preserve">This </w:t>
      </w:r>
      <w:r w:rsidR="005C3D9B">
        <w:t xml:space="preserve">report </w:t>
      </w:r>
      <w:r>
        <w:t xml:space="preserve">will compare </w:t>
      </w:r>
      <w:r w:rsidR="00785A56">
        <w:t xml:space="preserve">the </w:t>
      </w:r>
      <w:r w:rsidR="00C81833">
        <w:t>decision tree</w:t>
      </w:r>
      <w:r w:rsidR="00785A56">
        <w:t xml:space="preserve"> and </w:t>
      </w:r>
      <w:r w:rsidR="00D95289">
        <w:t>logistic regression</w:t>
      </w:r>
      <w:r>
        <w:t xml:space="preserve"> machine learning methods within the field of learning analytics </w:t>
      </w:r>
      <w:r w:rsidR="00785A56">
        <w:t xml:space="preserve">using </w:t>
      </w:r>
      <w:r>
        <w:t xml:space="preserve">data from the OULAD </w:t>
      </w:r>
      <w:sdt>
        <w:sdtPr>
          <w:id w:val="248011767"/>
          <w:citation/>
        </w:sdtPr>
        <w:sdtEndPr/>
        <w:sdtContent>
          <w:r>
            <w:fldChar w:fldCharType="begin"/>
          </w:r>
          <w:r>
            <w:instrText xml:space="preserve"> CITATION Kuzilek2017 \l 2057 </w:instrText>
          </w:r>
          <w:r>
            <w:fldChar w:fldCharType="separate"/>
          </w:r>
          <w:r w:rsidR="001F7710" w:rsidRPr="001F7710">
            <w:rPr>
              <w:noProof/>
            </w:rPr>
            <w:t>[1]</w:t>
          </w:r>
          <w:r>
            <w:fldChar w:fldCharType="end"/>
          </w:r>
        </w:sdtContent>
      </w:sdt>
      <w:r>
        <w:t xml:space="preserve"> to predict</w:t>
      </w:r>
      <w:r w:rsidR="00636659">
        <w:t xml:space="preserve"> (by classifying)</w:t>
      </w:r>
      <w:r>
        <w:t xml:space="preserve"> students’ final results.</w:t>
      </w:r>
    </w:p>
    <w:p w14:paraId="5B828456" w14:textId="749370BF" w:rsidR="008D0F79" w:rsidRDefault="008D0F79" w:rsidP="008F2454">
      <w:pPr>
        <w:pStyle w:val="Heading2"/>
        <w:jc w:val="both"/>
      </w:pPr>
      <w:r>
        <w:t>Experimental Procedure</w:t>
      </w:r>
      <w:r w:rsidR="00241A25">
        <w:t xml:space="preserve"> Plan</w:t>
      </w:r>
    </w:p>
    <w:p w14:paraId="754A0065" w14:textId="77777777" w:rsidR="00E1742C" w:rsidRDefault="004F2103" w:rsidP="008F2454">
      <w:pPr>
        <w:jc w:val="both"/>
      </w:pPr>
      <w:r>
        <w:t>Usage of the two machine learning models need to be justified</w:t>
      </w:r>
      <w:r w:rsidR="00E1742C">
        <w:t>.</w:t>
      </w:r>
      <w:r>
        <w:t xml:space="preserve"> </w:t>
      </w:r>
      <w:r w:rsidR="00E1742C">
        <w:t xml:space="preserve">After </w:t>
      </w:r>
      <w:r>
        <w:t>this</w:t>
      </w:r>
      <w:r w:rsidR="00E1742C">
        <w:t xml:space="preserve">, </w:t>
      </w:r>
      <w:r>
        <w:t>a feature set need</w:t>
      </w:r>
      <w:r w:rsidR="00E1742C">
        <w:t>s</w:t>
      </w:r>
      <w:r>
        <w:t xml:space="preserve"> to</w:t>
      </w:r>
      <w:r w:rsidR="00E1742C">
        <w:t xml:space="preserve"> be</w:t>
      </w:r>
      <w:r>
        <w:t xml:space="preserve"> selected</w:t>
      </w:r>
      <w:r w:rsidR="00E1742C">
        <w:t xml:space="preserve">. Next, </w:t>
      </w:r>
      <w:r>
        <w:t>the data</w:t>
      </w:r>
      <w:r w:rsidR="00E1742C">
        <w:t>set</w:t>
      </w:r>
      <w:r>
        <w:t xml:space="preserve"> is split into a training and test set.</w:t>
      </w:r>
    </w:p>
    <w:p w14:paraId="5BF6CCA6" w14:textId="65BD7537" w:rsidR="005C3D9B" w:rsidRDefault="007E72E6" w:rsidP="008F2454">
      <w:pPr>
        <w:jc w:val="both"/>
      </w:pPr>
      <w:r>
        <w:t xml:space="preserve">The </w:t>
      </w:r>
      <w:r w:rsidR="00C57A59">
        <w:t>processing and analysis</w:t>
      </w:r>
      <w:r>
        <w:t xml:space="preserve"> </w:t>
      </w:r>
      <w:r w:rsidR="00C57A59">
        <w:t xml:space="preserve">of the dataset </w:t>
      </w:r>
      <w:r w:rsidR="00E1742C">
        <w:t>is</w:t>
      </w:r>
      <w:r>
        <w:t xml:space="preserve"> </w:t>
      </w:r>
      <w:r w:rsidR="00E1742C">
        <w:t>now</w:t>
      </w:r>
      <w:r>
        <w:t xml:space="preserve"> </w:t>
      </w:r>
      <w:r w:rsidR="00C57A59">
        <w:t>performed</w:t>
      </w:r>
      <w:r>
        <w:t xml:space="preserve"> using Python with </w:t>
      </w:r>
      <w:r w:rsidR="001D0676">
        <w:t>NumPy</w:t>
      </w:r>
      <w:r w:rsidR="00E1742C">
        <w:t xml:space="preserve"> and</w:t>
      </w:r>
      <w:r>
        <w:t xml:space="preserve"> Pandas</w:t>
      </w:r>
      <w:r w:rsidR="00E1742C">
        <w:t xml:space="preserve"> for data manipulation</w:t>
      </w:r>
      <w:r>
        <w:t xml:space="preserve">, </w:t>
      </w:r>
      <w:r w:rsidR="001D0676">
        <w:t>s</w:t>
      </w:r>
      <w:r>
        <w:t>ci</w:t>
      </w:r>
      <w:r w:rsidR="001D0676">
        <w:t>k</w:t>
      </w:r>
      <w:r>
        <w:t>it-</w:t>
      </w:r>
      <w:r w:rsidR="001D0676">
        <w:t>l</w:t>
      </w:r>
      <w:r>
        <w:t>earn</w:t>
      </w:r>
      <w:r w:rsidR="00E1742C">
        <w:t xml:space="preserve"> for model application</w:t>
      </w:r>
      <w:r>
        <w:t xml:space="preserve"> and matplotlib</w:t>
      </w:r>
      <w:r w:rsidR="00E1742C">
        <w:t xml:space="preserve"> for data visualisation</w:t>
      </w:r>
      <w:r>
        <w:t>.</w:t>
      </w:r>
    </w:p>
    <w:p w14:paraId="57BAA0DB" w14:textId="0E8511D2" w:rsidR="00636659" w:rsidRDefault="00E1742C" w:rsidP="0019461C">
      <w:pPr>
        <w:jc w:val="both"/>
      </w:pPr>
      <w:r>
        <w:t xml:space="preserve">Finally, model hyperparameters are tuned to try increase accuracy of the model (while </w:t>
      </w:r>
      <w:r w:rsidR="00D7631F">
        <w:t xml:space="preserve">minimising </w:t>
      </w:r>
      <w:r>
        <w:t>overfitting).</w:t>
      </w:r>
    </w:p>
    <w:p w14:paraId="466E88BA" w14:textId="4E66F7B1" w:rsidR="008F2454" w:rsidRDefault="0019461C" w:rsidP="008F2454">
      <w:pPr>
        <w:pStyle w:val="Heading2"/>
        <w:jc w:val="both"/>
      </w:pPr>
      <w:r>
        <w:t xml:space="preserve">Justification for Use of </w:t>
      </w:r>
      <w:r w:rsidR="008F2454">
        <w:t>Models</w:t>
      </w:r>
    </w:p>
    <w:p w14:paraId="4D823FB3" w14:textId="06DD0682" w:rsidR="008F2454" w:rsidRDefault="008F2454" w:rsidP="008F2454">
      <w:pPr>
        <w:jc w:val="both"/>
      </w:pPr>
      <w:r>
        <w:t>A decision tree classifier generates a tree structure when training</w:t>
      </w:r>
      <w:r w:rsidR="0019461C">
        <w:t>, this is primarily useful when the input and output is categorical, which in this case it mostly is (</w:t>
      </w:r>
      <w:r w:rsidR="00294191">
        <w:t>dependant</w:t>
      </w:r>
      <w:r w:rsidR="0019461C">
        <w:t xml:space="preserve"> on the feature selection)</w:t>
      </w:r>
      <w:r>
        <w:t>.</w:t>
      </w:r>
    </w:p>
    <w:p w14:paraId="29A9AC25" w14:textId="7EA18988" w:rsidR="00294191" w:rsidRDefault="00F678C9" w:rsidP="008F2454">
      <w:pPr>
        <w:jc w:val="both"/>
      </w:pPr>
      <w:r>
        <w:t xml:space="preserve">A support-vector machine generates a hyperplane to separate training data in hyperspace. While it is best suited to continuous data, as explained in </w:t>
      </w:r>
      <w:r>
        <w:fldChar w:fldCharType="begin"/>
      </w:r>
      <w:r>
        <w:instrText xml:space="preserve"> REF _Ref39661454 \h </w:instrText>
      </w:r>
      <w:r>
        <w:fldChar w:fldCharType="separate"/>
      </w:r>
      <w:r>
        <w:t>Data Preparation</w:t>
      </w:r>
      <w:r>
        <w:fldChar w:fldCharType="end"/>
      </w:r>
      <w:r>
        <w:t>, categorical features can be mapped to meaningful continuous data.</w:t>
      </w:r>
    </w:p>
    <w:p w14:paraId="16833A4C" w14:textId="3F5BC2F3" w:rsidR="00241A25" w:rsidRDefault="008F2454" w:rsidP="008F2454">
      <w:pPr>
        <w:pStyle w:val="Heading2"/>
        <w:jc w:val="both"/>
      </w:pPr>
      <w:bookmarkStart w:id="0" w:name="_Ref39661454"/>
      <w:r>
        <w:t>Data Preparation</w:t>
      </w:r>
      <w:bookmarkEnd w:id="0"/>
    </w:p>
    <w:p w14:paraId="4E2E7CAA" w14:textId="151274D6" w:rsidR="00F678C9" w:rsidRDefault="008F2454" w:rsidP="003D0346">
      <w:pPr>
        <w:jc w:val="both"/>
      </w:pPr>
      <w:r>
        <w:t xml:space="preserve">In order to </w:t>
      </w:r>
      <w:r w:rsidR="00BD4C4D">
        <w:t>use the models, the data must first be transformed into a set of input features and a corresponding set of input labels.</w:t>
      </w:r>
    </w:p>
    <w:p w14:paraId="41B72B37" w14:textId="0AE8C1B2" w:rsidR="00BD4C4D" w:rsidRDefault="00412D03" w:rsidP="008F2454">
      <w:pPr>
        <w:jc w:val="both"/>
      </w:pPr>
      <w:r>
        <w:t>Since b</w:t>
      </w:r>
      <w:r w:rsidR="00BD4C4D">
        <w:t xml:space="preserve">oth models require class-based features to be converted into numerical </w:t>
      </w:r>
      <w:r w:rsidR="00832F8C">
        <w:t>inputs</w:t>
      </w:r>
      <w:r w:rsidR="000562F8">
        <w:t xml:space="preserve">, </w:t>
      </w:r>
      <w:r w:rsidR="00BB6276">
        <w:t xml:space="preserve">decision tree </w:t>
      </w:r>
      <w:r w:rsidR="000562F8">
        <w:t>may use</w:t>
      </w:r>
      <w:r w:rsidR="00BD4C4D">
        <w:t xml:space="preserve"> one-hot encoding with the pandas g</w:t>
      </w:r>
      <w:r w:rsidR="00DB7996">
        <w:t>et dummies method</w:t>
      </w:r>
      <w:r w:rsidR="00BD4C4D">
        <w:t>.</w:t>
      </w:r>
    </w:p>
    <w:p w14:paraId="3900AB81" w14:textId="0A6099D3" w:rsidR="00611D17" w:rsidRDefault="00412D03" w:rsidP="008F2454">
      <w:pPr>
        <w:jc w:val="both"/>
      </w:pPr>
      <w:r>
        <w:t>To enable both methods to be comparable,</w:t>
      </w:r>
      <w:r w:rsidR="003D0346">
        <w:t xml:space="preserve"> the ‘Withdrawn’ classification will not be considered</w:t>
      </w:r>
      <w:r>
        <w:t xml:space="preserve">, this is because it acts as a </w:t>
      </w:r>
      <w:r w:rsidR="00066F99">
        <w:t xml:space="preserve">mutually exclusive </w:t>
      </w:r>
      <w:r>
        <w:t xml:space="preserve">entity </w:t>
      </w:r>
      <w:r w:rsidR="00066F99">
        <w:t xml:space="preserve">compared </w:t>
      </w:r>
      <w:r>
        <w:t>to the grade classifications (meaning it cannot be assigned a numerical value using the band</w:t>
      </w:r>
      <w:r w:rsidR="00DF1713">
        <w:t>ed</w:t>
      </w:r>
      <w:r>
        <w:t xml:space="preserve"> system)</w:t>
      </w:r>
      <w:r w:rsidR="003D0346">
        <w:t>.</w:t>
      </w:r>
    </w:p>
    <w:p w14:paraId="64CFE06F" w14:textId="76379D44" w:rsidR="00C75333" w:rsidRDefault="00611D17" w:rsidP="008F2454">
      <w:pPr>
        <w:jc w:val="both"/>
      </w:pPr>
      <w:r>
        <w:t xml:space="preserve">The </w:t>
      </w:r>
      <w:r w:rsidR="00C75333">
        <w:t>second and third</w:t>
      </w:r>
      <w:r>
        <w:t xml:space="preserve"> pie charts demonstrate that the testing and training data have less than 1% difference in label proportions.</w:t>
      </w:r>
    </w:p>
    <w:p w14:paraId="6610D1B6" w14:textId="33AE194F" w:rsidR="001D2B2B" w:rsidRDefault="00341E1A" w:rsidP="008F2454">
      <w:pPr>
        <w:jc w:val="both"/>
      </w:pPr>
      <w:r w:rsidRPr="00341E1A">
        <w:drawing>
          <wp:inline distT="0" distB="0" distL="0" distR="0" wp14:anchorId="390DC251" wp14:editId="0848ED80">
            <wp:extent cx="2640965" cy="1980565"/>
            <wp:effectExtent l="0" t="0" r="698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476AE" w14:textId="4D120A04" w:rsidR="001D2B2B" w:rsidRPr="008F2454" w:rsidRDefault="000429D7" w:rsidP="008F2454">
      <w:pPr>
        <w:jc w:val="both"/>
      </w:pPr>
      <w:r>
        <w:t>The stacked bar chart demonstrates the distribution of outcomes between the training and test datasets</w:t>
      </w:r>
      <w:r w:rsidR="008F2298">
        <w:t xml:space="preserve"> (of which there is less than one percent </w:t>
      </w:r>
      <w:r w:rsidR="0054048C">
        <w:t>difference</w:t>
      </w:r>
      <w:r w:rsidR="008F2298">
        <w:t>)</w:t>
      </w:r>
      <w:r>
        <w:t>.</w:t>
      </w:r>
    </w:p>
    <w:p w14:paraId="47486AB6" w14:textId="21955F69" w:rsidR="00006A6A" w:rsidRDefault="00006A6A" w:rsidP="008F2454">
      <w:pPr>
        <w:pStyle w:val="Heading2"/>
        <w:jc w:val="both"/>
      </w:pPr>
      <w:r>
        <w:t>Performance</w:t>
      </w:r>
      <w:r w:rsidR="004F2103">
        <w:t xml:space="preserve"> of Methods</w:t>
      </w:r>
    </w:p>
    <w:p w14:paraId="6BB07C85" w14:textId="77777777" w:rsidR="00636659" w:rsidRDefault="00636659" w:rsidP="008F2454">
      <w:pPr>
        <w:jc w:val="both"/>
      </w:pPr>
      <w:r>
        <w:t>Classification</w:t>
      </w:r>
      <w:r w:rsidR="004F2103">
        <w:t xml:space="preserve"> </w:t>
      </w:r>
      <w:r>
        <w:t>accuracy score works out the fraction of correctly classified samples when a model is used to predict labels for the test dataset.</w:t>
      </w:r>
    </w:p>
    <w:p w14:paraId="61720D43" w14:textId="38B03330" w:rsidR="00DB41C5" w:rsidRDefault="00EC4E00" w:rsidP="008F2454">
      <w:pPr>
        <w:jc w:val="both"/>
      </w:pPr>
      <w:r>
        <w:t>Normalised c</w:t>
      </w:r>
      <w:r w:rsidR="00636659">
        <w:t>onfusion matrices visualise</w:t>
      </w:r>
      <w:r>
        <w:t xml:space="preserve"> the fraction of instances within the sample set where a true label is output as a given prediction label. The higher the values in leading diagonal in the matrix (and the lower the values everywhere else), the greater the accuracy of the model (on the </w:t>
      </w:r>
      <w:r w:rsidR="00133C9F">
        <w:t>testing</w:t>
      </w:r>
      <w:r>
        <w:t xml:space="preserve"> set).</w:t>
      </w:r>
    </w:p>
    <w:p w14:paraId="3C251906" w14:textId="13D4A9F2" w:rsidR="00E3226C" w:rsidRDefault="00F90D4F" w:rsidP="008F2454">
      <w:pPr>
        <w:jc w:val="both"/>
      </w:pPr>
      <w:r w:rsidRPr="00F90D4F">
        <w:rPr>
          <w:noProof/>
        </w:rPr>
        <w:lastRenderedPageBreak/>
        <w:drawing>
          <wp:inline distT="0" distB="0" distL="0" distR="0" wp14:anchorId="60885D10" wp14:editId="26FB8AA9">
            <wp:extent cx="2640965" cy="1980565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59545" w14:textId="6BD3655F" w:rsidR="00DB41C5" w:rsidRDefault="00584605" w:rsidP="008F2454">
      <w:pPr>
        <w:jc w:val="both"/>
      </w:pPr>
      <w:r w:rsidRPr="00584605">
        <w:rPr>
          <w:noProof/>
        </w:rPr>
        <w:drawing>
          <wp:inline distT="0" distB="0" distL="0" distR="0" wp14:anchorId="27E4D1EB" wp14:editId="6D26E433">
            <wp:extent cx="2640965" cy="1980565"/>
            <wp:effectExtent l="0" t="0" r="698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60FAD" w14:textId="4A9F3D43" w:rsidR="00006A6A" w:rsidRDefault="00006A6A" w:rsidP="008F2454">
      <w:pPr>
        <w:pStyle w:val="Heading2"/>
        <w:jc w:val="both"/>
      </w:pPr>
      <w:r>
        <w:t>Conclusions</w:t>
      </w:r>
    </w:p>
    <w:p w14:paraId="59FE1246" w14:textId="77777777" w:rsidR="00006A6A" w:rsidRPr="00006A6A" w:rsidRDefault="00006A6A" w:rsidP="008F2454">
      <w:pPr>
        <w:jc w:val="both"/>
      </w:pPr>
    </w:p>
    <w:p w14:paraId="487F6E43" w14:textId="5DE1967F" w:rsidR="004F2103" w:rsidRDefault="004F2103" w:rsidP="008F2454">
      <w:pPr>
        <w:jc w:val="both"/>
      </w:pPr>
      <w:r>
        <w:t>Comparisons: Training, evaluation, hyperparameter tuning</w:t>
      </w:r>
      <w:r w:rsidR="00F73534">
        <w:t xml:space="preserve"> [C value, OVR vs OVO</w:t>
      </w:r>
      <w:r w:rsidR="00164838">
        <w:t>, kernel</w:t>
      </w:r>
      <w:r w:rsidR="00F73534">
        <w:t>],</w:t>
      </w:r>
      <w:r>
        <w:t xml:space="preserve"> prediction</w:t>
      </w:r>
    </w:p>
    <w:p w14:paraId="2E931F22" w14:textId="22AC2F98" w:rsidR="000A595C" w:rsidRDefault="000A595C" w:rsidP="008F2454">
      <w:pPr>
        <w:jc w:val="both"/>
        <w:rPr>
          <w:sz w:val="32"/>
          <w:szCs w:val="32"/>
        </w:rPr>
      </w:pPr>
      <w:r>
        <w:br w:type="page"/>
      </w:r>
    </w:p>
    <w:sdt>
      <w:sdtPr>
        <w:rPr>
          <w:rFonts w:eastAsiaTheme="minorHAnsi" w:cstheme="minorBidi"/>
          <w:b w:val="0"/>
          <w:sz w:val="22"/>
          <w:szCs w:val="22"/>
        </w:rPr>
        <w:id w:val="-88089896"/>
        <w:docPartObj>
          <w:docPartGallery w:val="Bibliographies"/>
          <w:docPartUnique/>
        </w:docPartObj>
      </w:sdtPr>
      <w:sdtEndPr/>
      <w:sdtContent>
        <w:p w14:paraId="631D1B76" w14:textId="2F857981" w:rsidR="000A595C" w:rsidRDefault="000A595C" w:rsidP="008F2454">
          <w:pPr>
            <w:pStyle w:val="Heading1"/>
            <w:jc w:val="both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01464CF2" w14:textId="77777777" w:rsidR="001F7710" w:rsidRDefault="000A595C" w:rsidP="008F2454">
              <w:pPr>
                <w:jc w:val="both"/>
                <w:rPr>
                  <w:rFonts w:asciiTheme="minorHAnsi" w:hAnsiTheme="minorHAnsi"/>
                  <w:noProof/>
                  <w:color w:val="auto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32"/>
                <w:gridCol w:w="3827"/>
              </w:tblGrid>
              <w:tr w:rsidR="001F7710" w14:paraId="255F07F9" w14:textId="77777777">
                <w:trPr>
                  <w:divId w:val="18213385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5875C23" w14:textId="175DB71B" w:rsidR="001F7710" w:rsidRDefault="001F7710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4E66289" w14:textId="77777777" w:rsidR="001F7710" w:rsidRDefault="001F771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Kuzilek, M. Hlosta and Z. Zdrahal, “Open University Learning Analytics dataset,” </w:t>
                    </w:r>
                    <w:r>
                      <w:rPr>
                        <w:i/>
                        <w:iCs/>
                        <w:noProof/>
                      </w:rPr>
                      <w:t xml:space="preserve">Scientific Data, </w:t>
                    </w:r>
                    <w:r>
                      <w:rPr>
                        <w:noProof/>
                      </w:rPr>
                      <w:t xml:space="preserve">vol. 4, no. 1, 2017. </w:t>
                    </w:r>
                  </w:p>
                </w:tc>
              </w:tr>
            </w:tbl>
            <w:p w14:paraId="49C1AC01" w14:textId="77777777" w:rsidR="001F7710" w:rsidRDefault="001F7710">
              <w:pPr>
                <w:divId w:val="1821338582"/>
                <w:rPr>
                  <w:rFonts w:eastAsia="Times New Roman"/>
                  <w:noProof/>
                </w:rPr>
              </w:pPr>
            </w:p>
            <w:p w14:paraId="5A9BF775" w14:textId="583D5468" w:rsidR="000A595C" w:rsidRPr="006968D5" w:rsidRDefault="000A595C" w:rsidP="008F2454">
              <w:pPr>
                <w:jc w:val="both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0A595C" w:rsidRPr="006968D5" w:rsidSect="001176A2">
      <w:footerReference w:type="default" r:id="rId10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BD9EB1" w14:textId="77777777" w:rsidR="00063B10" w:rsidRDefault="00063B10" w:rsidP="001176A2">
      <w:pPr>
        <w:spacing w:after="0" w:line="240" w:lineRule="auto"/>
      </w:pPr>
      <w:r>
        <w:separator/>
      </w:r>
    </w:p>
    <w:p w14:paraId="177DCBFD" w14:textId="77777777" w:rsidR="00063B10" w:rsidRDefault="00063B10"/>
  </w:endnote>
  <w:endnote w:type="continuationSeparator" w:id="0">
    <w:p w14:paraId="452DF69C" w14:textId="77777777" w:rsidR="00063B10" w:rsidRDefault="00063B10" w:rsidP="001176A2">
      <w:pPr>
        <w:spacing w:after="0" w:line="240" w:lineRule="auto"/>
      </w:pPr>
      <w:r>
        <w:continuationSeparator/>
      </w:r>
    </w:p>
    <w:p w14:paraId="0F5AAA1F" w14:textId="77777777" w:rsidR="00063B10" w:rsidRDefault="00063B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CFAE9B" w14:textId="77777777" w:rsidR="001176A2" w:rsidRPr="001176A2" w:rsidRDefault="001176A2">
    <w:pPr>
      <w:pStyle w:val="Footer"/>
      <w:jc w:val="center"/>
      <w:rPr>
        <w:caps/>
        <w:noProof/>
      </w:rPr>
    </w:pPr>
    <w:r w:rsidRPr="001176A2">
      <w:rPr>
        <w:caps/>
      </w:rPr>
      <w:fldChar w:fldCharType="begin"/>
    </w:r>
    <w:r w:rsidRPr="001176A2">
      <w:rPr>
        <w:caps/>
      </w:rPr>
      <w:instrText xml:space="preserve"> PAGE   \* MERGEFORMAT </w:instrText>
    </w:r>
    <w:r w:rsidRPr="001176A2">
      <w:rPr>
        <w:caps/>
      </w:rPr>
      <w:fldChar w:fldCharType="separate"/>
    </w:r>
    <w:r w:rsidRPr="001176A2">
      <w:rPr>
        <w:caps/>
        <w:noProof/>
      </w:rPr>
      <w:t>2</w:t>
    </w:r>
    <w:r w:rsidRPr="001176A2">
      <w:rPr>
        <w:caps/>
        <w:noProof/>
      </w:rPr>
      <w:fldChar w:fldCharType="end"/>
    </w:r>
  </w:p>
  <w:p w14:paraId="3210150C" w14:textId="77777777" w:rsidR="001176A2" w:rsidRPr="001176A2" w:rsidRDefault="001176A2">
    <w:pPr>
      <w:pStyle w:val="Footer"/>
    </w:pPr>
  </w:p>
  <w:p w14:paraId="54BF453A" w14:textId="77777777" w:rsidR="000B7A74" w:rsidRDefault="000B7A7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FA596" w14:textId="77777777" w:rsidR="00063B10" w:rsidRDefault="00063B10" w:rsidP="001176A2">
      <w:pPr>
        <w:spacing w:after="0" w:line="240" w:lineRule="auto"/>
      </w:pPr>
      <w:r>
        <w:separator/>
      </w:r>
    </w:p>
    <w:p w14:paraId="74003179" w14:textId="77777777" w:rsidR="00063B10" w:rsidRDefault="00063B10"/>
  </w:footnote>
  <w:footnote w:type="continuationSeparator" w:id="0">
    <w:p w14:paraId="59C220A9" w14:textId="77777777" w:rsidR="00063B10" w:rsidRDefault="00063B10" w:rsidP="001176A2">
      <w:pPr>
        <w:spacing w:after="0" w:line="240" w:lineRule="auto"/>
      </w:pPr>
      <w:r>
        <w:continuationSeparator/>
      </w:r>
    </w:p>
    <w:p w14:paraId="076BD867" w14:textId="77777777" w:rsidR="00063B10" w:rsidRDefault="00063B1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0tDQwMTe0MDU1N7FU0lEKTi0uzszPAykwrAUADH6hziwAAAA="/>
  </w:docVars>
  <w:rsids>
    <w:rsidRoot w:val="00AC0171"/>
    <w:rsid w:val="00006A6A"/>
    <w:rsid w:val="000429D7"/>
    <w:rsid w:val="000562F8"/>
    <w:rsid w:val="00063B10"/>
    <w:rsid w:val="00066F99"/>
    <w:rsid w:val="000A595C"/>
    <w:rsid w:val="000B0B34"/>
    <w:rsid w:val="000B7A74"/>
    <w:rsid w:val="001176A2"/>
    <w:rsid w:val="00133C9F"/>
    <w:rsid w:val="00147E35"/>
    <w:rsid w:val="00160E02"/>
    <w:rsid w:val="00164838"/>
    <w:rsid w:val="0019461C"/>
    <w:rsid w:val="00195F40"/>
    <w:rsid w:val="001A4A1F"/>
    <w:rsid w:val="001C0AFE"/>
    <w:rsid w:val="001D0676"/>
    <w:rsid w:val="001D2B2B"/>
    <w:rsid w:val="001F7710"/>
    <w:rsid w:val="00215840"/>
    <w:rsid w:val="00241A25"/>
    <w:rsid w:val="00294191"/>
    <w:rsid w:val="002F1DD9"/>
    <w:rsid w:val="00341E1A"/>
    <w:rsid w:val="003537CD"/>
    <w:rsid w:val="003D0346"/>
    <w:rsid w:val="00405844"/>
    <w:rsid w:val="00412D03"/>
    <w:rsid w:val="004F2103"/>
    <w:rsid w:val="0054048C"/>
    <w:rsid w:val="00565B8A"/>
    <w:rsid w:val="00584605"/>
    <w:rsid w:val="005C3D9B"/>
    <w:rsid w:val="005E7D66"/>
    <w:rsid w:val="00607A49"/>
    <w:rsid w:val="00611D17"/>
    <w:rsid w:val="00636659"/>
    <w:rsid w:val="0065303A"/>
    <w:rsid w:val="00654824"/>
    <w:rsid w:val="00681995"/>
    <w:rsid w:val="006968D5"/>
    <w:rsid w:val="00765392"/>
    <w:rsid w:val="00785A56"/>
    <w:rsid w:val="007D64FD"/>
    <w:rsid w:val="007D77E6"/>
    <w:rsid w:val="007E72E6"/>
    <w:rsid w:val="00832F8C"/>
    <w:rsid w:val="008628EF"/>
    <w:rsid w:val="008934DD"/>
    <w:rsid w:val="008D0F79"/>
    <w:rsid w:val="008F2298"/>
    <w:rsid w:val="008F2454"/>
    <w:rsid w:val="00944386"/>
    <w:rsid w:val="009B2550"/>
    <w:rsid w:val="00A11B6E"/>
    <w:rsid w:val="00A147CB"/>
    <w:rsid w:val="00AC0171"/>
    <w:rsid w:val="00AE0F7A"/>
    <w:rsid w:val="00B31346"/>
    <w:rsid w:val="00B96ADE"/>
    <w:rsid w:val="00BB6276"/>
    <w:rsid w:val="00BD4C4D"/>
    <w:rsid w:val="00C57A59"/>
    <w:rsid w:val="00C73574"/>
    <w:rsid w:val="00C75333"/>
    <w:rsid w:val="00C81833"/>
    <w:rsid w:val="00D7631F"/>
    <w:rsid w:val="00D95289"/>
    <w:rsid w:val="00DB41C5"/>
    <w:rsid w:val="00DB7996"/>
    <w:rsid w:val="00DD12B0"/>
    <w:rsid w:val="00DD50F4"/>
    <w:rsid w:val="00DF1713"/>
    <w:rsid w:val="00E1742C"/>
    <w:rsid w:val="00E3226C"/>
    <w:rsid w:val="00EC4E00"/>
    <w:rsid w:val="00F678C9"/>
    <w:rsid w:val="00F73534"/>
    <w:rsid w:val="00F9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72A576"/>
  <w15:chartTrackingRefBased/>
  <w15:docId w15:val="{6C055A82-13ED-4028-8FA8-11E2B33F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6A2"/>
    <w:rPr>
      <w:rFonts w:ascii="Times New Roman" w:hAnsi="Times New Roman"/>
      <w:color w:val="262626" w:themeColor="text1" w:themeTint="D9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68D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8D5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8D5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6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6A2"/>
  </w:style>
  <w:style w:type="paragraph" w:styleId="Footer">
    <w:name w:val="footer"/>
    <w:basedOn w:val="Normal"/>
    <w:link w:val="FooterChar"/>
    <w:uiPriority w:val="99"/>
    <w:unhideWhenUsed/>
    <w:rsid w:val="001176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6A2"/>
  </w:style>
  <w:style w:type="character" w:customStyle="1" w:styleId="Heading1Char">
    <w:name w:val="Heading 1 Char"/>
    <w:basedOn w:val="DefaultParagraphFont"/>
    <w:link w:val="Heading1"/>
    <w:uiPriority w:val="9"/>
    <w:rsid w:val="006968D5"/>
    <w:rPr>
      <w:rFonts w:ascii="Times New Roman" w:eastAsiaTheme="majorEastAsia" w:hAnsi="Times New Roman" w:cstheme="majorBidi"/>
      <w:b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68D5"/>
    <w:rPr>
      <w:rFonts w:ascii="Times New Roman" w:eastAsiaTheme="majorEastAsia" w:hAnsi="Times New Roman" w:cstheme="majorBidi"/>
      <w:b/>
      <w:color w:val="262626" w:themeColor="text1" w:themeTint="D9"/>
      <w:sz w:val="26"/>
      <w:szCs w:val="26"/>
    </w:rPr>
  </w:style>
  <w:style w:type="paragraph" w:styleId="NoSpacing">
    <w:name w:val="No Spacing"/>
    <w:uiPriority w:val="1"/>
    <w:qFormat/>
    <w:rsid w:val="001176A2"/>
    <w:pPr>
      <w:spacing w:after="0" w:line="240" w:lineRule="auto"/>
    </w:pPr>
    <w:rPr>
      <w:rFonts w:ascii="Times New Roman" w:hAnsi="Times New Roman"/>
      <w:color w:val="262626" w:themeColor="text1" w:themeTint="D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8D5"/>
    <w:rPr>
      <w:rFonts w:ascii="Times New Roman" w:eastAsiaTheme="majorEastAsia" w:hAnsi="Times New Roman" w:cstheme="majorBidi"/>
      <w:b/>
      <w:color w:val="262626" w:themeColor="text1" w:themeTint="D9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160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9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Kuzilek2017</b:Tag>
    <b:SourceType>JournalArticle</b:SourceType>
    <b:Guid>{A02D4C66-1903-4EE8-BF15-AA39160813F1}</b:Guid>
    <b:Title>Open University Learning Analytics dataset</b:Title>
    <b:JournalName>Scientific Data</b:JournalName>
    <b:Year>2017</b:Year>
    <b:Volume>4</b:Volume>
    <b:Issue>1</b:Issue>
    <b:Author>
      <b:Author>
        <b:NameList>
          <b:Person>
            <b:Last>Kuzilek</b:Last>
            <b:First>Jakub</b:First>
          </b:Person>
          <b:Person>
            <b:Last>Hlosta</b:Last>
            <b:First>Martin</b:First>
          </b:Person>
          <b:Person>
            <b:Last>Zdrahal</b:Last>
            <b:First>Zdenek</b:First>
          </b:Person>
        </b:NameList>
      </b:Author>
    </b:Author>
    <b:URL>https://www.nature.com/articles/sdata2017171</b:URL>
    <b:RefOrder>1</b:RefOrder>
  </b:Source>
</b:Sources>
</file>

<file path=customXml/itemProps1.xml><?xml version="1.0" encoding="utf-8"?>
<ds:datastoreItem xmlns:ds="http://schemas.openxmlformats.org/officeDocument/2006/customXml" ds:itemID="{C8652619-3B7D-48E8-AF30-F73D86B26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3063</TotalTime>
  <Pages>3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Grimmett</dc:creator>
  <cp:keywords/>
  <dc:description/>
  <cp:lastModifiedBy>Max Grimmett</cp:lastModifiedBy>
  <cp:revision>59</cp:revision>
  <dcterms:created xsi:type="dcterms:W3CDTF">2020-02-26T13:57:00Z</dcterms:created>
  <dcterms:modified xsi:type="dcterms:W3CDTF">2020-05-09T13:05:00Z</dcterms:modified>
</cp:coreProperties>
</file>