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drawing>
          <wp:inline xmlns:a="http://schemas.openxmlformats.org/drawingml/2006/main" xmlns:pic="http://schemas.openxmlformats.org/drawingml/2006/picture">
            <wp:extent cx="1440000" cy="916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9 at 2.31.45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1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50"/>
        <w:pBdr>
          <w:bottom w:val="single" w:sz="12" w:space="1" w:color="FFFFFF"/>
        </w:pBdr>
      </w:pPr>
    </w:p>
    <w:p>
      <w:pPr>
        <w:jc w:val="center"/>
        <w:spacing w:before="0" w:after="4"/>
      </w:pPr>
      <w:r>
        <w:rPr>
          <w:rFonts w:ascii="Calibri" w:hAnsi="Calibri"/>
          <w:b/>
          <w:i w:val="0"/>
          <w:color w:val="7A8899"/>
          <w:sz w:val="15"/>
        </w:rPr>
        <w:t>PROPUESTA COMERCIAL</w:t>
      </w:r>
    </w:p>
    <w:p>
      <w:pPr>
        <w:jc w:val="center"/>
        <w:spacing w:before="0" w:after="14"/>
      </w:pPr>
      <w:r>
        <w:rPr>
          <w:rFonts w:ascii="Calibri" w:hAnsi="Calibri"/>
          <w:b w:val="0"/>
          <w:i/>
          <w:color w:val="7A8899"/>
          <w:sz w:val="18"/>
        </w:rPr>
        <w:t>Copa Mundial de Futbol  -  Grupo K  -  Seleccion Colombia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shd w:val="clear" w:color="auto" w:fill="000000"/>
            <w:tcW w:w="1600" w:type="dxa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A8899"/>
                <w:sz w:val="16"/>
              </w:rPr>
              <w:t>Cliente</w:t>
            </w:r>
          </w:p>
        </w:tc>
        <w:tc>
          <w:tcPr>
            <w:shd w:val="clear" w:color="auto" w:fill="000000"/>
            <w:tcW w:w="7760" w:type="dxa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UNEQUAL</w:t>
            </w:r>
          </w:p>
        </w:tc>
      </w:tr>
      <w:tr>
        <w:tc>
          <w:tcPr>
            <w:shd w:val="clear" w:color="auto" w:fill="000000"/>
            <w:tcW w:w="1600" w:type="dxa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A8899"/>
                <w:sz w:val="16"/>
              </w:rPr>
              <w:t>NIT / ID</w:t>
            </w:r>
          </w:p>
        </w:tc>
        <w:tc>
          <w:tcPr>
            <w:shd w:val="clear" w:color="auto" w:fill="000000"/>
            <w:tcW w:w="7760" w:type="dxa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NIT 901170356-3</w:t>
            </w:r>
          </w:p>
        </w:tc>
      </w:tr>
    </w:tbl>
    <w:p>
      <w:pPr>
        <w:spacing w:before="70" w:after="60"/>
        <w:pBdr>
          <w:bottom w:val="single" w:sz="6" w:space="1" w:color="333333"/>
        </w:pBdr>
      </w:pPr>
    </w:p>
    <w:p>
      <w:pPr>
        <w:jc w:val="left"/>
        <w:spacing w:before="0" w:after="24"/>
      </w:pPr>
      <w:r>
        <w:rPr>
          <w:rFonts w:ascii="Calibri" w:hAnsi="Calibri"/>
          <w:b/>
          <w:i w:val="0"/>
          <w:color w:val="FFFFFF"/>
          <w:sz w:val="16"/>
        </w:rPr>
        <w:t>FECHAS DEL SERVICIO</w:t>
      </w:r>
    </w:p>
    <w:tbl>
      <w:tblPr>
        <w:jc w:val="left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shd w:val="clear" w:color="auto" w:fill="000000"/>
            <w:tcW w:w="936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shd w:val="clear" w:color="auto" w:fill="000000"/>
            <w:tcW w:w="5428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Partido</w:t>
            </w:r>
          </w:p>
        </w:tc>
        <w:tc>
          <w:tcPr>
            <w:shd w:val="clear" w:color="auto" w:fill="000000"/>
            <w:tcW w:w="2995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Fecha / Hora</w:t>
            </w:r>
          </w:p>
        </w:tc>
      </w:tr>
      <w:tr>
        <w:tc>
          <w:tcPr>
            <w:shd w:val="clear" w:color="auto" w:fill="FFFFFF"/>
            <w:tcW w:w="936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Partido 1</w:t>
            </w:r>
          </w:p>
        </w:tc>
        <w:tc>
          <w:tcPr>
            <w:shd w:val="clear" w:color="auto" w:fill="FFFFFF"/>
            <w:tcW w:w="5428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Uzbekistan vs Colombia</w:t>
            </w:r>
          </w:p>
        </w:tc>
        <w:tc>
          <w:tcPr>
            <w:shd w:val="clear" w:color="auto" w:fill="FFFFFF"/>
            <w:tcW w:w="299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17 jun  -  9:00 p.m.</w:t>
            </w:r>
          </w:p>
        </w:tc>
      </w:tr>
      <w:tr>
        <w:tc>
          <w:tcPr>
            <w:shd w:val="clear" w:color="auto" w:fill="FFFFFF"/>
            <w:tcW w:w="936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Partido 2</w:t>
            </w:r>
          </w:p>
        </w:tc>
        <w:tc>
          <w:tcPr>
            <w:shd w:val="clear" w:color="auto" w:fill="FFFFFF"/>
            <w:tcW w:w="5428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Colombia vs RD Congo</w:t>
            </w:r>
          </w:p>
        </w:tc>
        <w:tc>
          <w:tcPr>
            <w:shd w:val="clear" w:color="auto" w:fill="FFFFFF"/>
            <w:tcW w:w="299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23 jun  -  9:00 p.m.</w:t>
            </w:r>
          </w:p>
        </w:tc>
      </w:tr>
      <w:tr>
        <w:tc>
          <w:tcPr>
            <w:shd w:val="clear" w:color="auto" w:fill="FFFFFF"/>
            <w:tcW w:w="936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Partido 3</w:t>
            </w:r>
          </w:p>
        </w:tc>
        <w:tc>
          <w:tcPr>
            <w:shd w:val="clear" w:color="auto" w:fill="FFFFFF"/>
            <w:tcW w:w="5428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Colombia vs Portugal</w:t>
            </w:r>
          </w:p>
        </w:tc>
        <w:tc>
          <w:tcPr>
            <w:shd w:val="clear" w:color="auto" w:fill="FFFFFF"/>
            <w:tcW w:w="299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27 jun  -  6:30 p.m.</w:t>
            </w:r>
          </w:p>
        </w:tc>
      </w:tr>
    </w:tbl>
    <w:p>
      <w:pPr>
        <w:spacing w:before="70" w:after="60"/>
        <w:pBdr>
          <w:bottom w:val="single" w:sz="6" w:space="1" w:color="333333"/>
        </w:pBdr>
      </w:pPr>
    </w:p>
    <w:p>
      <w:pPr>
        <w:jc w:val="left"/>
        <w:spacing w:before="0" w:after="24"/>
      </w:pPr>
      <w:r>
        <w:rPr>
          <w:rFonts w:ascii="Calibri" w:hAnsi="Calibri"/>
          <w:b/>
          <w:i w:val="0"/>
          <w:color w:val="FFFFFF"/>
          <w:sz w:val="16"/>
        </w:rPr>
        <w:t>EQUIPOS  -  VALOR POR FECHA</w:t>
      </w:r>
    </w:p>
    <w:tbl>
      <w:tblPr>
        <w:jc w:val="left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shd w:val="clear" w:color="auto" w:fill="000000"/>
            <w:tcW w:w="655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</w:t>
            </w:r>
          </w:p>
        </w:tc>
        <w:tc>
          <w:tcPr>
            <w:shd w:val="clear" w:color="auto" w:fill="000000"/>
            <w:tcW w:w="6832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Descripcion</w:t>
            </w:r>
          </w:p>
        </w:tc>
        <w:tc>
          <w:tcPr>
            <w:shd w:val="clear" w:color="auto" w:fill="000000"/>
            <w:tcW w:w="1872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Valor</w:t>
            </w:r>
          </w:p>
        </w:tc>
      </w:tr>
      <w:tr>
        <w:tc>
          <w:tcPr>
            <w:shd w:val="clear" w:color="auto" w:fill="FFFFFF"/>
            <w:tcW w:w="65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01</w:t>
            </w:r>
          </w:p>
        </w:tc>
        <w:tc>
          <w:tcPr>
            <w:shd w:val="clear" w:color="auto" w:fill="FFFFFF"/>
            <w:tcW w:w="6832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Pantalla 3x5</w:t>
            </w:r>
          </w:p>
        </w:tc>
        <w:tc>
          <w:tcPr>
            <w:shd w:val="clear" w:color="auto" w:fill="FFFFFF"/>
            <w:tcW w:w="1872" w:type="dxa"/>
            <w:tcMar>
              <w:top w:w="80" w:type="dxa"/>
              <w:bottom w:w="8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$ 3.750.000</w:t>
            </w:r>
          </w:p>
        </w:tc>
      </w:tr>
      <w:tr>
        <w:tc>
          <w:tcPr>
            <w:shd w:val="clear" w:color="auto" w:fill="FFFFFF"/>
            <w:tcW w:w="65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02</w:t>
            </w:r>
          </w:p>
        </w:tc>
        <w:tc>
          <w:tcPr>
            <w:shd w:val="clear" w:color="auto" w:fill="FFFFFF"/>
            <w:tcW w:w="6832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 QSC relevos</w:t>
            </w:r>
          </w:p>
        </w:tc>
        <w:tc>
          <w:tcPr>
            <w:shd w:val="clear" w:color="auto" w:fill="FFFFFF"/>
            <w:tcW w:w="1872" w:type="dxa"/>
            <w:tcMar>
              <w:top w:w="80" w:type="dxa"/>
              <w:bottom w:w="8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   800.000</w:t>
            </w:r>
          </w:p>
        </w:tc>
      </w:tr>
      <w:tr>
        <w:tc>
          <w:tcPr>
            <w:shd w:val="clear" w:color="auto" w:fill="FFFFFF"/>
            <w:tcW w:w="65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03</w:t>
            </w:r>
          </w:p>
        </w:tc>
        <w:tc>
          <w:tcPr>
            <w:shd w:val="clear" w:color="auto" w:fill="FFFFFF"/>
            <w:tcW w:w="6832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 Electro Voice PA</w:t>
            </w:r>
          </w:p>
        </w:tc>
        <w:tc>
          <w:tcPr>
            <w:shd w:val="clear" w:color="auto" w:fill="FFFFFF"/>
            <w:tcW w:w="1872" w:type="dxa"/>
            <w:tcMar>
              <w:top w:w="80" w:type="dxa"/>
              <w:bottom w:w="8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   400.000</w:t>
            </w:r>
          </w:p>
        </w:tc>
      </w:tr>
      <w:tr>
        <w:tc>
          <w:tcPr>
            <w:shd w:val="clear" w:color="auto" w:fill="FFFFFF"/>
            <w:tcW w:w="65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04</w:t>
            </w:r>
          </w:p>
        </w:tc>
        <w:tc>
          <w:tcPr>
            <w:shd w:val="clear" w:color="auto" w:fill="FFFFFF"/>
            <w:tcW w:w="6832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 Microfonos</w:t>
            </w:r>
          </w:p>
        </w:tc>
        <w:tc>
          <w:tcPr>
            <w:shd w:val="clear" w:color="auto" w:fill="FFFFFF"/>
            <w:tcW w:w="1872" w:type="dxa"/>
            <w:tcMar>
              <w:top w:w="80" w:type="dxa"/>
              <w:bottom w:w="8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   200.000</w:t>
            </w:r>
          </w:p>
        </w:tc>
      </w:tr>
      <w:tr>
        <w:tc>
          <w:tcPr>
            <w:shd w:val="clear" w:color="auto" w:fill="FFFFFF"/>
            <w:tcW w:w="65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05</w:t>
            </w:r>
          </w:p>
        </w:tc>
        <w:tc>
          <w:tcPr>
            <w:shd w:val="clear" w:color="auto" w:fill="FFFFFF"/>
            <w:tcW w:w="6832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 Cabezas beam 230 por DMX</w:t>
            </w:r>
          </w:p>
        </w:tc>
        <w:tc>
          <w:tcPr>
            <w:shd w:val="clear" w:color="auto" w:fill="FFFFFF"/>
            <w:tcW w:w="1872" w:type="dxa"/>
            <w:tcMar>
              <w:top w:w="80" w:type="dxa"/>
              <w:bottom w:w="8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   800.000</w:t>
            </w:r>
          </w:p>
        </w:tc>
      </w:tr>
      <w:tr>
        <w:tc>
          <w:tcPr>
            <w:shd w:val="clear" w:color="auto" w:fill="FFFFFF"/>
            <w:tcW w:w="65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06</w:t>
            </w:r>
          </w:p>
        </w:tc>
        <w:tc>
          <w:tcPr>
            <w:shd w:val="clear" w:color="auto" w:fill="FFFFFF"/>
            <w:tcW w:w="6832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 Par leds perimetral por DMX</w:t>
            </w:r>
          </w:p>
        </w:tc>
        <w:tc>
          <w:tcPr>
            <w:shd w:val="clear" w:color="auto" w:fill="FFFFFF"/>
            <w:tcW w:w="1872" w:type="dxa"/>
            <w:tcMar>
              <w:top w:w="80" w:type="dxa"/>
              <w:bottom w:w="8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   600.000</w:t>
            </w:r>
          </w:p>
        </w:tc>
      </w:tr>
      <w:tr>
        <w:tc>
          <w:tcPr>
            <w:shd w:val="clear" w:color="auto" w:fill="333333"/>
            <w:tcW w:w="655" w:type="dxa"/>
            <w:tcMar>
              <w:top w:w="90" w:type="dxa"/>
              <w:bottom w:w="9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shd w:val="clear" w:color="auto" w:fill="333333"/>
            <w:tcW w:w="6832" w:type="dxa"/>
            <w:tcMar>
              <w:top w:w="90" w:type="dxa"/>
              <w:bottom w:w="9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SUBTOTAL POR FECHA</w:t>
            </w:r>
          </w:p>
        </w:tc>
        <w:tc>
          <w:tcPr>
            <w:shd w:val="clear" w:color="auto" w:fill="333333"/>
            <w:tcW w:w="1872" w:type="dxa"/>
            <w:tcMar>
              <w:top w:w="90" w:type="dxa"/>
              <w:bottom w:w="9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$ 6.550.000</w:t>
            </w:r>
          </w:p>
        </w:tc>
      </w:tr>
      <w:tr>
        <w:tc>
          <w:tcPr>
            <w:shd w:val="clear" w:color="auto" w:fill="000000"/>
            <w:tcW w:w="655" w:type="dxa"/>
            <w:tcMar>
              <w:top w:w="110" w:type="dxa"/>
              <w:bottom w:w="11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shd w:val="clear" w:color="auto" w:fill="000000"/>
            <w:tcW w:w="6832" w:type="dxa"/>
            <w:tcMar>
              <w:top w:w="110" w:type="dxa"/>
              <w:bottom w:w="11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TOTAL  x3 FECHAS</w:t>
            </w:r>
          </w:p>
        </w:tc>
        <w:tc>
          <w:tcPr>
            <w:shd w:val="clear" w:color="auto" w:fill="000000"/>
            <w:tcW w:w="1872" w:type="dxa"/>
            <w:tcMar>
              <w:top w:w="110" w:type="dxa"/>
              <w:bottom w:w="11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$ 19.650.000</w:t>
            </w:r>
          </w:p>
        </w:tc>
      </w:tr>
    </w:tbl>
    <w:p>
      <w:pPr>
        <w:spacing w:before="70" w:after="60"/>
        <w:pBdr>
          <w:bottom w:val="single" w:sz="6" w:space="1" w:color="333333"/>
        </w:pBdr>
      </w:pPr>
    </w:p>
    <w:p>
      <w:pPr>
        <w:jc w:val="left"/>
        <w:spacing w:before="0" w:after="24"/>
      </w:pPr>
      <w:r>
        <w:rPr>
          <w:rFonts w:ascii="Calibri" w:hAnsi="Calibri"/>
          <w:b/>
          <w:i w:val="0"/>
          <w:color w:val="FFFFFF"/>
          <w:sz w:val="16"/>
        </w:rPr>
        <w:t>INVERSION</w:t>
      </w:r>
    </w:p>
    <w:tbl>
      <w:tblPr>
        <w:jc w:val="left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shd w:val="clear" w:color="auto" w:fill="000000"/>
            <w:tcW w:w="3800" w:type="dxa"/>
            <w:tcMar>
              <w:top w:w="130" w:type="dxa"/>
              <w:bottom w:w="13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7A8899"/>
                <w:sz w:val="16"/>
              </w:rPr>
              <w:t>TOTAL</w:t>
              <w:br/>
            </w: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$ 19.650.000</w:t>
            </w:r>
          </w:p>
        </w:tc>
        <w:tc>
          <w:tcPr>
            <w:shd w:val="clear" w:color="auto" w:fill="FFFFFF"/>
            <w:tcW w:w="5560" w:type="dxa"/>
            <w:tcMar>
              <w:top w:w="110" w:type="dxa"/>
              <w:bottom w:w="110" w:type="dxa"/>
              <w:left w:w="140" w:type="dxa"/>
              <w:right w:w="100" w:type="dxa"/>
            </w:tcMar>
            <w:vAlign w:val="top"/>
          </w:tcPr>
          <w:p>
            <w:pPr>
              <w:spacing w:before="0" w:after="16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Forma de pago</w:t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Pago a 30 dias</w:t>
            </w:r>
            <w:r>
              <w:rPr>
                <w:rFonts w:ascii="Calibri" w:hAnsi="Calibri"/>
                <w:b w:val="0"/>
                <w:i/>
                <w:color w:val="7A8899"/>
                <w:sz w:val="15"/>
              </w:rPr>
              <w:br/>
              <w:t>Precio aplica por cada fecha de evento.</w:t>
            </w:r>
          </w:p>
          <w:p>
            <w:pPr>
              <w:spacing w:before="30" w:after="0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Incluye</w:t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- Pantalla 3x5</w:t>
              <w:br/>
              <w:t>- 4 QSC relevos</w:t>
              <w:br/>
              <w:t>- 2 Electro Voice PA</w:t>
              <w:br/>
              <w:t>- 2 Microfonos</w:t>
              <w:br/>
              <w:t>- 4 Cabezas beam 230 por DMX</w:t>
              <w:br/>
              <w:t>- 20 Par leds perimetral por DMX</w:t>
              <w:br/>
              <w:t>- Montaje y operacion en cada fecha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shd w:val="clear" w:color="auto" w:fill="FFFFFF"/>
            <w:tcW w:w="46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16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VIGENCIA</w:t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Emision:       9 de abril de 2026</w:t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Valida hasta:  9 de mayo de 2026</w:t>
            </w:r>
          </w:p>
        </w:tc>
        <w:tc>
          <w:tcPr>
            <w:shd w:val="clear" w:color="auto" w:fill="FFFFFF"/>
            <w:tcW w:w="46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16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PROPONENTE</w:t>
              <w:br/>
            </w: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BBM Producciones S.A.S.</w:t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NIT 901577285-7</w:t>
              <w:br/>
              <w:br/>
            </w:r>
            <w:r>
              <w:rPr>
                <w:rFonts w:ascii="Calibri" w:hAnsi="Calibri"/>
                <w:b w:val="0"/>
                <w:i w:val="0"/>
                <w:color w:val="7A8899"/>
                <w:sz w:val="16"/>
              </w:rPr>
              <w:t>___________________________</w:t>
              <w:br/>
              <w:t>Firma</w:t>
            </w:r>
          </w:p>
        </w:tc>
      </w:tr>
    </w:tbl>
    <w:p>
      <w:pPr>
        <w:spacing w:before="60" w:after="20"/>
        <w:pBdr>
          <w:bottom w:val="single" w:sz="6" w:space="1" w:color="FFFFFF"/>
        </w:pBdr>
      </w:pPr>
    </w:p>
    <w:p>
      <w:pPr>
        <w:jc w:val="center"/>
        <w:spacing w:before="0" w:after="0"/>
      </w:pPr>
      <w:r>
        <w:rPr>
          <w:rFonts w:ascii="Calibri" w:hAnsi="Calibri"/>
          <w:b w:val="0"/>
          <w:i w:val="0"/>
          <w:color w:val="7A8899"/>
          <w:sz w:val="15"/>
        </w:rPr>
        <w:t>BBM Producciones · BBM Producciones S.A.S.  -  NIT 901577285-7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