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iGaming CRM Portfolio - Pavel Koltsov</w:t>
      </w:r>
    </w:p>
    <w:p>
      <w:r>
        <w:rPr/>
        <w:t>I'm moving into iGaming CRM from operations management. Behind me: five years running my own multi-location food business, sales and franchise management, Python backend development, and training in AML, KYC, player verification and customer support for gambling operators.</w:t>
      </w:r>
    </w:p>
    <w:p>
      <w:r>
        <w:rPr/>
        <w:t>This portfolio shows how I think about CRM: a playbook of lifecycle campaigns, solutions to typical CRM problems, and my position on the main CRM questions.</w:t>
      </w:r>
    </w:p>
    <w:p>
      <w:pPr>
        <w:pStyle w:val="Heading2"/>
      </w:pPr>
      <w:r/>
      <w:r>
        <w:rPr/>
        <w:t>What's inside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3"/>
        <w:gridCol w:w="5618"/>
      </w:tblGrid>
      <w:tr>
        <w:tc>
          <w:tcPr>
            <w:tcW w:type="dxa" w:w="3793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Section</w:t>
            </w:r>
          </w:p>
        </w:tc>
        <w:tc>
          <w:tcPr>
            <w:tcW w:type="dxa" w:w="561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What it shows</w:t>
            </w:r>
          </w:p>
        </w:tc>
      </w:tr>
      <w:tr>
        <w:tc>
          <w:tcPr>
            <w:tcW w:type="dxa" w:w="3793"/>
          </w:tcPr>
          <w:p>
            <w:pPr>
              <w:spacing w:after="0"/>
            </w:pPr>
            <w:r>
              <w:rPr>
                <w:sz w:val="19"/>
              </w:rPr>
              <w:t>Playbook and journeys</w:t>
            </w:r>
          </w:p>
        </w:tc>
        <w:tc>
          <w:tcPr>
            <w:tcW w:type="dxa" w:w="5618"/>
          </w:tcPr>
          <w:p>
            <w:pPr>
              <w:spacing w:after="0"/>
            </w:pPr>
            <w:r>
              <w:rPr>
                <w:sz w:val="19"/>
              </w:rPr>
              <w:t>Six lifecycle campaigns from sign-up to VIP: brief, detailed step-by-step journey, offers, measurement against a control group.</w:t>
            </w:r>
          </w:p>
        </w:tc>
      </w:tr>
      <w:tr>
        <w:tc>
          <w:tcPr>
            <w:tcW w:type="dxa" w:w="3793"/>
          </w:tcPr>
          <w:p>
            <w:pPr>
              <w:spacing w:after="0"/>
            </w:pPr>
            <w:r>
              <w:rPr>
                <w:sz w:val="19"/>
              </w:rPr>
              <w:t>Cases</w:t>
            </w:r>
          </w:p>
        </w:tc>
        <w:tc>
          <w:tcPr>
            <w:tcW w:type="dxa" w:w="5618"/>
          </w:tcPr>
          <w:p>
            <w:pPr>
              <w:spacing w:after="0"/>
            </w:pPr>
            <w:r>
              <w:rPr>
                <w:sz w:val="19"/>
              </w:rPr>
              <w:t>10 typical CRM problems solved step by step: segmentation, retention drop, second deposit, VIP churn, reading a campaign report, bonus or content, bonus economics, cross-sell, engagement vs revenue, contact fatigue</w:t>
            </w:r>
          </w:p>
        </w:tc>
      </w:tr>
      <w:tr>
        <w:tc>
          <w:tcPr>
            <w:tcW w:type="dxa" w:w="3793"/>
          </w:tcPr>
          <w:p>
            <w:pPr>
              <w:spacing w:after="0"/>
            </w:pPr>
            <w:r>
              <w:rPr>
                <w:sz w:val="19"/>
              </w:rPr>
              <w:t>Responsible gambling and bonus abuse</w:t>
            </w:r>
          </w:p>
        </w:tc>
        <w:tc>
          <w:tcPr>
            <w:tcW w:type="dxa" w:w="5618"/>
          </w:tcPr>
          <w:p>
            <w:pPr>
              <w:spacing w:after="0"/>
            </w:pPr>
            <w:r>
              <w:rPr>
                <w:sz w:val="19"/>
              </w:rPr>
              <w:t>Harm markers, suppression policy, abuse signals and where CRM's responsibility ends</w:t>
            </w:r>
          </w:p>
        </w:tc>
      </w:tr>
      <w:tr>
        <w:tc>
          <w:tcPr>
            <w:tcW w:type="dxa" w:w="3793"/>
          </w:tcPr>
          <w:p>
            <w:pPr>
              <w:spacing w:after="0"/>
            </w:pPr>
            <w:r>
              <w:rPr>
                <w:sz w:val="19"/>
              </w:rPr>
              <w:t>iGaming CRM questions</w:t>
            </w:r>
          </w:p>
        </w:tc>
        <w:tc>
          <w:tcPr>
            <w:tcW w:type="dxa" w:w="5618"/>
          </w:tcPr>
          <w:p>
            <w:pPr>
              <w:spacing w:after="0"/>
            </w:pPr>
            <w:r>
              <w:rPr>
                <w:sz w:val="19"/>
              </w:rPr>
              <w:t>12 common iGaming CRM questions and my position on each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/>
        <w:t>Principles I work by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</w:r>
      <w:r>
        <w:rPr>
          <w:b/>
        </w:rPr>
        <w:t>A campaign is worth exactly what it caused.</w:t>
      </w:r>
      <w:r>
        <w:rPr/>
        <w:t xml:space="preserve"> I count the difference against a random control group. The number of responders on its own says nothing.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</w:r>
      <w:r>
        <w:rPr>
          <w:b/>
        </w:rPr>
        <w:t>Money decides.</w:t>
      </w:r>
      <w:r>
        <w:rPr/>
        <w:t xml:space="preserve"> I look at incremental NGR after bonus and channel costs. Opens, clicks and the number of bonuses claimed are supporting numbers.</w:t>
      </w:r>
    </w:p>
    <w:p>
      <w:pPr>
        <w:tabs>
          <w:tab w:pos="397" w:val="left"/>
        </w:tabs>
        <w:spacing w:after="40"/>
        <w:ind w:left="397" w:hanging="283"/>
      </w:pPr>
      <w:r>
        <w:t>3.</w:t>
        <w:tab/>
      </w:r>
      <w:r>
        <w:rPr/>
      </w:r>
      <w:r>
        <w:rPr>
          <w:b/>
        </w:rPr>
        <w:t>A metric change is a symptom.</w:t>
      </w:r>
      <w:r>
        <w:rPr/>
        <w:t xml:space="preserve"> First understand the cause, then decide what to send.</w:t>
      </w:r>
    </w:p>
    <w:p>
      <w:pPr>
        <w:tabs>
          <w:tab w:pos="397" w:val="left"/>
        </w:tabs>
        <w:spacing w:after="40"/>
        <w:ind w:left="397" w:hanging="283"/>
      </w:pPr>
      <w:r>
        <w:t>4.</w:t>
        <w:tab/>
      </w:r>
      <w:r>
        <w:rPr/>
      </w:r>
      <w:r>
        <w:rPr>
          <w:b/>
        </w:rPr>
        <w:t>Behaviour, not the calendar.</w:t>
      </w:r>
      <w:r>
        <w:rPr/>
        <w:t xml:space="preserve"> A journey starts with a player's action and ends when the player reaches the goal.</w:t>
      </w:r>
    </w:p>
    <w:p>
      <w:pPr>
        <w:pStyle w:val="Heading2"/>
      </w:pPr>
      <w:r/>
      <w:r>
        <w:rPr/>
        <w:t>About me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Founder and operations manager of a food-service chain (launched, scaled, sold it); before that I ran a sales and franchise department.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Python backend developer (Yandex Practicum), Telegram bots and automation.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Certificates: SumSub (Fraud Prevention, AML Transaction Monitoring), Casino Guru Academy (Player Verification &amp; AML; Customer Support &amp; Complaints), Chainalysis, HubSpot Inbound Marketing.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Remote work, open to relocation.</w:t>
      </w:r>
    </w:p>
    <w:p>
      <w:r>
        <w:rPr/>
        <w:t>LinkedIn: linkedin.com/in/eminencesaul | p.kolt080@gmail.com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