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t>Case 01 - The CRM team sends everyone the same promo. Segment the base</w:t>
      </w:r>
    </w:p>
    <w:p>
      <w:pPr>
        <w:spacing w:before="80" w:after="160"/>
        <w:ind w:left="227"/>
        <w:pBdr>
          <w:left w:val="single" w:sz="18" w:space="8" w:color="1F3A5F"/>
        </w:pBdr>
        <w:shd w:val="clear" w:color="auto" w:fill="F1F4F8"/>
      </w:pPr>
      <w:r>
        <w:rPr/>
      </w:r>
      <w:r>
        <w:rPr>
          <w:b/>
        </w:rPr>
        <w:t>In short:</w:t>
      </w:r>
      <w:r>
        <w:rPr/>
        <w:t xml:space="preserve"> score every depositor on recency, frequency and amount. Then group them into a few segments the team can actually work with. Then give each segment its own goal, incentive policy and guardrail metric - so bonus money goes exactly where it can change player behaviour.</w:t>
      </w:r>
    </w:p>
    <w:p>
      <w:pPr>
        <w:pStyle w:val="Heading2"/>
      </w:pPr>
      <w:r/>
      <w:r>
        <w:rPr/>
        <w:t>Situation</w:t>
      </w:r>
    </w:p>
    <w:p>
      <w:r>
        <w:rPr>
          <w:i/>
        </w:rPr>
        <w:t>Made-up numbers for the exercise, not real data.</w:t>
      </w:r>
    </w:p>
    <w:p>
      <w:pPr>
        <w:tabs>
          <w:tab w:pos="397" w:val="left"/>
        </w:tabs>
        <w:spacing w:after="40"/>
        <w:ind w:left="397" w:hanging="283"/>
      </w:pPr>
      <w:r>
        <w:t>•</w:t>
        <w:tab/>
      </w:r>
      <w:r>
        <w:rPr/>
        <w:t>Online casino, around 10,000 depositors over the last year.</w:t>
      </w:r>
    </w:p>
    <w:p>
      <w:pPr>
        <w:tabs>
          <w:tab w:pos="397" w:val="left"/>
        </w:tabs>
        <w:spacing w:after="40"/>
        <w:ind w:left="397" w:hanging="283"/>
      </w:pPr>
      <w:r>
        <w:t>•</w:t>
        <w:tab/>
      </w:r>
      <w:r>
        <w:rPr/>
        <w:t>Every Friday all recent depositors get the same reload bonus: 50% up to €50.</w:t>
      </w:r>
    </w:p>
    <w:p>
      <w:pPr>
        <w:tabs>
          <w:tab w:pos="397" w:val="left"/>
        </w:tabs>
        <w:spacing w:after="40"/>
        <w:ind w:left="397" w:hanging="283"/>
      </w:pPr>
      <w:r>
        <w:t>•</w:t>
        <w:tab/>
      </w:r>
      <w:r>
        <w:rPr/>
        <w:t>We've heard that roughly 5% of players bring in about three quarters of NGR, and bonus cost keeps growing.</w:t>
      </w:r>
    </w:p>
    <w:p>
      <w:pPr>
        <w:tabs>
          <w:tab w:pos="397" w:val="left"/>
        </w:tabs>
        <w:spacing w:after="40"/>
        <w:ind w:left="397" w:hanging="283"/>
      </w:pPr>
      <w:r>
        <w:t>•</w:t>
        <w:tab/>
      </w:r>
      <w:r>
        <w:rPr/>
        <w:t>The Head of CRM wants a segmentation the team can really use.</w:t>
      </w:r>
    </w:p>
    <w:p>
      <w:pPr>
        <w:pStyle w:val="Heading2"/>
      </w:pPr>
      <w:r/>
      <w:r>
        <w:rPr/>
        <w:t>How I approach it</w:t>
      </w:r>
    </w:p>
    <w:p>
      <w:r>
        <w:rPr/>
        <w:t xml:space="preserve">First of all we decide what decision the segmentation has to support: </w:t>
      </w:r>
      <w:r>
        <w:rPr>
          <w:i/>
        </w:rPr>
        <w:t>who should get which contact and which incentive.</w:t>
      </w:r>
    </w:p>
    <w:p>
      <w:r>
        <w:rPr/>
        <w:t>In this case there should be only a few segments, they should be stable over time, clear to the team and tied to an action.</w:t>
      </w:r>
    </w:p>
    <w:p>
      <w:r>
        <w:rPr/>
        <w:t>RFM works for this: Recency, Frequency, Monetary.</w:t>
      </w:r>
    </w:p>
    <w:p>
      <w:r>
        <w:rPr/>
        <w:t>Platforms like Optimove already have similar logic built in: first the lifecycle stage, and inside it a split by behaviour and value.</w:t>
      </w:r>
    </w:p>
    <w:p>
      <w:pPr>
        <w:pStyle w:val="Heading2"/>
      </w:pPr>
      <w:r/>
      <w:r>
        <w:rPr/>
        <w:t>Method</w:t>
      </w:r>
    </w:p>
    <w:tbl>
      <w:tblPr>
        <w:tblStyle w:val="TableGrid"/>
        <w:tblW w:type="auto" w:w="0"/>
        <w:jc w:val="center"/>
        <w:tblLayout w:type="fixed"/>
        <w:tblLook w:firstColumn="1" w:firstRow="1" w:lastColumn="0" w:lastRow="0" w:noHBand="0" w:noVBand="1" w:val="04A0"/>
      </w:tblPr>
      <w:tblGrid>
        <w:gridCol w:w="1616"/>
        <w:gridCol w:w="3454"/>
        <w:gridCol w:w="4342"/>
      </w:tblGrid>
      <w:tr>
        <w:tc>
          <w:tcPr>
            <w:tcW w:type="dxa" w:w="1616"/>
            <w:shd w:val="clear" w:color="auto" w:fill="DCE4EE"/>
          </w:tcPr>
          <w:p>
            <w:pPr>
              <w:spacing w:after="0"/>
            </w:pPr>
            <w:r>
              <w:rPr>
                <w:b/>
                <w:sz w:val="19"/>
              </w:rPr>
              <w:t>Dimension</w:t>
            </w:r>
          </w:p>
        </w:tc>
        <w:tc>
          <w:tcPr>
            <w:tcW w:type="dxa" w:w="3454"/>
            <w:shd w:val="clear" w:color="auto" w:fill="DCE4EE"/>
          </w:tcPr>
          <w:p>
            <w:pPr>
              <w:spacing w:after="0"/>
            </w:pPr>
            <w:r>
              <w:rPr>
                <w:b/>
                <w:sz w:val="19"/>
              </w:rPr>
              <w:t>Question</w:t>
            </w:r>
          </w:p>
        </w:tc>
        <w:tc>
          <w:tcPr>
            <w:tcW w:type="dxa" w:w="4342"/>
            <w:shd w:val="clear" w:color="auto" w:fill="DCE4EE"/>
          </w:tcPr>
          <w:p>
            <w:pPr>
              <w:spacing w:after="0"/>
            </w:pPr>
            <w:r>
              <w:rPr>
                <w:b/>
                <w:sz w:val="19"/>
              </w:rPr>
              <w:t>Score</w:t>
            </w:r>
          </w:p>
        </w:tc>
      </w:tr>
      <w:tr>
        <w:tc>
          <w:tcPr>
            <w:tcW w:type="dxa" w:w="1616"/>
          </w:tcPr>
          <w:p>
            <w:pPr>
              <w:spacing w:after="0"/>
            </w:pPr>
            <w:r>
              <w:rPr>
                <w:sz w:val="19"/>
              </w:rPr>
            </w:r>
            <w:r>
              <w:rPr>
                <w:b/>
                <w:sz w:val="19"/>
              </w:rPr>
              <w:t>R</w:t>
            </w:r>
            <w:r>
              <w:rPr>
                <w:sz w:val="19"/>
              </w:rPr>
              <w:t>ecency</w:t>
            </w:r>
          </w:p>
        </w:tc>
        <w:tc>
          <w:tcPr>
            <w:tcW w:type="dxa" w:w="3454"/>
          </w:tcPr>
          <w:p>
            <w:pPr>
              <w:spacing w:after="0"/>
            </w:pPr>
            <w:r>
              <w:rPr>
                <w:sz w:val="19"/>
              </w:rPr>
              <w:t>How long since the last deposit?</w:t>
            </w:r>
          </w:p>
        </w:tc>
        <w:tc>
          <w:tcPr>
            <w:tcW w:type="dxa" w:w="4342"/>
          </w:tcPr>
          <w:p>
            <w:pPr>
              <w:spacing w:after="0"/>
            </w:pPr>
            <w:r>
              <w:rPr>
                <w:sz w:val="19"/>
              </w:rPr>
              <w:t>business thresholds: ≤7 days -&gt; 5, ≤30 -&gt; 4, ≤60 -&gt; 3, ≤120 -&gt; 2, more -&gt; 1</w:t>
            </w:r>
          </w:p>
        </w:tc>
      </w:tr>
      <w:tr>
        <w:tc>
          <w:tcPr>
            <w:tcW w:type="dxa" w:w="1616"/>
          </w:tcPr>
          <w:p>
            <w:pPr>
              <w:spacing w:after="0"/>
            </w:pPr>
            <w:r>
              <w:rPr>
                <w:sz w:val="19"/>
              </w:rPr>
            </w:r>
            <w:r>
              <w:rPr>
                <w:b/>
                <w:sz w:val="19"/>
              </w:rPr>
              <w:t>F</w:t>
            </w:r>
            <w:r>
              <w:rPr>
                <w:sz w:val="19"/>
              </w:rPr>
              <w:t>requency</w:t>
            </w:r>
          </w:p>
        </w:tc>
        <w:tc>
          <w:tcPr>
            <w:tcW w:type="dxa" w:w="3454"/>
          </w:tcPr>
          <w:p>
            <w:pPr>
              <w:spacing w:after="0"/>
            </w:pPr>
            <w:r>
              <w:rPr>
                <w:sz w:val="19"/>
              </w:rPr>
              <w:t>How many deposits in the last 180 days?</w:t>
            </w:r>
          </w:p>
        </w:tc>
        <w:tc>
          <w:tcPr>
            <w:tcW w:type="dxa" w:w="4342"/>
          </w:tcPr>
          <w:p>
            <w:pPr>
              <w:spacing w:after="0"/>
            </w:pPr>
            <w:r>
              <w:rPr>
                <w:sz w:val="19"/>
              </w:rPr>
              <w:t>thresholds: 20+ -&gt; 5, 8+ -&gt; 4, 4+ -&gt; 3, 2+ -&gt; 2, 1 -&gt; 1</w:t>
            </w:r>
          </w:p>
        </w:tc>
      </w:tr>
      <w:tr>
        <w:tc>
          <w:tcPr>
            <w:tcW w:type="dxa" w:w="1616"/>
          </w:tcPr>
          <w:p>
            <w:pPr>
              <w:spacing w:after="0"/>
            </w:pPr>
            <w:r>
              <w:rPr>
                <w:sz w:val="19"/>
              </w:rPr>
            </w:r>
            <w:r>
              <w:rPr>
                <w:b/>
                <w:sz w:val="19"/>
              </w:rPr>
              <w:t>M</w:t>
            </w:r>
            <w:r>
              <w:rPr>
                <w:sz w:val="19"/>
              </w:rPr>
              <w:t>onetary</w:t>
            </w:r>
          </w:p>
        </w:tc>
        <w:tc>
          <w:tcPr>
            <w:tcW w:type="dxa" w:w="3454"/>
          </w:tcPr>
          <w:p>
            <w:pPr>
              <w:spacing w:after="0"/>
            </w:pPr>
            <w:r>
              <w:rPr>
                <w:sz w:val="19"/>
              </w:rPr>
              <w:t>How much deposited in 180 days?</w:t>
            </w:r>
          </w:p>
        </w:tc>
        <w:tc>
          <w:tcPr>
            <w:tcW w:type="dxa" w:w="4342"/>
          </w:tcPr>
          <w:p>
            <w:pPr>
              <w:spacing w:after="0"/>
            </w:pPr>
            <w:r>
              <w:rPr>
                <w:sz w:val="19"/>
              </w:rPr>
              <w:t>quintiles</w:t>
            </w:r>
          </w:p>
        </w:tc>
      </w:tr>
    </w:tbl>
    <w:p>
      <w:pPr>
        <w:spacing w:after="40"/>
      </w:pPr>
    </w:p>
    <w:p>
      <w:r>
        <w:rPr/>
      </w:r>
      <w:r>
        <w:rPr>
          <w:b/>
        </w:rPr>
        <w:t>Why thresholds for R and F, not quintiles.</w:t>
      </w:r>
      <w:r>
        <w:rPr/>
        <w:t xml:space="preserve"> Classic RFM splits the base into five equal groups. That breaks when many players have the same value: thousands of players with exactly one deposit get randomly cut into different scores. Business thresholds are stable, easy to explain ("no deposit for 30 days") and match the way CRM rules are written. For M, where values are widely spread, quintiles work fine.</w:t>
      </w:r>
    </w:p>
    <w:p>
      <w:r>
        <w:rPr/>
      </w:r>
      <w:r>
        <w:rPr>
          <w:b/>
        </w:rPr>
        <w:t>Why M on deposits, not on NGR.</w:t>
      </w:r>
      <w:r>
        <w:rPr/>
        <w:t xml:space="preserve"> NGR depends on luck: a player who just won big has negative NGR for the period, even if they're a valuable customer. Deposits reflect intent and budget. I look at NGR separately, next to the segments, and don't put it into the score. Two players with deposits of €50 and €5,000 need a completely different approach.</w:t>
      </w:r>
    </w:p>
    <w:p>
      <w:pPr>
        <w:pStyle w:val="Heading2"/>
      </w:pPr>
      <w:r/>
      <w:r>
        <w:rPr/>
        <w:t>What I would do with each segment</w:t>
      </w:r>
    </w:p>
    <w:tbl>
      <w:tblPr>
        <w:tblStyle w:val="TableGrid"/>
        <w:tblW w:type="auto" w:w="0"/>
        <w:jc w:val="center"/>
        <w:tblLayout w:type="fixed"/>
        <w:tblLook w:firstColumn="1" w:firstRow="1" w:lastColumn="0" w:lastRow="0" w:noHBand="0" w:noVBand="1" w:val="04A0"/>
      </w:tblPr>
      <w:tblGrid>
        <w:gridCol w:w="1253"/>
        <w:gridCol w:w="1853"/>
        <w:gridCol w:w="1414"/>
        <w:gridCol w:w="3022"/>
        <w:gridCol w:w="1869"/>
      </w:tblGrid>
      <w:tr>
        <w:tc>
          <w:tcPr>
            <w:tcW w:type="dxa" w:w="1253"/>
            <w:shd w:val="clear" w:color="auto" w:fill="DCE4EE"/>
          </w:tcPr>
          <w:p>
            <w:pPr>
              <w:spacing w:after="0"/>
            </w:pPr>
            <w:r>
              <w:rPr>
                <w:b/>
                <w:sz w:val="19"/>
              </w:rPr>
              <w:t>Segment</w:t>
            </w:r>
          </w:p>
        </w:tc>
        <w:tc>
          <w:tcPr>
            <w:tcW w:type="dxa" w:w="1853"/>
            <w:shd w:val="clear" w:color="auto" w:fill="DCE4EE"/>
          </w:tcPr>
          <w:p>
            <w:pPr>
              <w:spacing w:after="0"/>
            </w:pPr>
            <w:r>
              <w:rPr>
                <w:b/>
                <w:sz w:val="19"/>
              </w:rPr>
              <w:t>Who</w:t>
            </w:r>
          </w:p>
        </w:tc>
        <w:tc>
          <w:tcPr>
            <w:tcW w:type="dxa" w:w="1414"/>
            <w:shd w:val="clear" w:color="auto" w:fill="DCE4EE"/>
          </w:tcPr>
          <w:p>
            <w:pPr>
              <w:spacing w:after="0"/>
            </w:pPr>
            <w:r>
              <w:rPr>
                <w:b/>
                <w:sz w:val="19"/>
              </w:rPr>
              <w:t>Goal</w:t>
            </w:r>
          </w:p>
        </w:tc>
        <w:tc>
          <w:tcPr>
            <w:tcW w:type="dxa" w:w="3022"/>
            <w:shd w:val="clear" w:color="auto" w:fill="DCE4EE"/>
          </w:tcPr>
          <w:p>
            <w:pPr>
              <w:spacing w:after="0"/>
            </w:pPr>
            <w:r>
              <w:rPr>
                <w:b/>
                <w:sz w:val="19"/>
              </w:rPr>
              <w:t>What we do</w:t>
            </w:r>
          </w:p>
        </w:tc>
        <w:tc>
          <w:tcPr>
            <w:tcW w:type="dxa" w:w="1869"/>
            <w:shd w:val="clear" w:color="auto" w:fill="DCE4EE"/>
          </w:tcPr>
          <w:p>
            <w:pPr>
              <w:spacing w:after="0"/>
            </w:pPr>
            <w:r>
              <w:rPr>
                <w:b/>
                <w:sz w:val="19"/>
              </w:rPr>
              <w:t>Guardrail</w:t>
            </w:r>
          </w:p>
        </w:tc>
      </w:tr>
      <w:tr>
        <w:tc>
          <w:tcPr>
            <w:tcW w:type="dxa" w:w="1253"/>
          </w:tcPr>
          <w:p>
            <w:pPr>
              <w:spacing w:after="0"/>
            </w:pPr>
            <w:r>
              <w:rPr>
                <w:sz w:val="19"/>
              </w:rPr>
              <w:t>Champions</w:t>
            </w:r>
          </w:p>
        </w:tc>
        <w:tc>
          <w:tcPr>
            <w:tcW w:type="dxa" w:w="1853"/>
          </w:tcPr>
          <w:p>
            <w:pPr>
              <w:spacing w:after="0"/>
            </w:pPr>
            <w:r>
              <w:rPr>
                <w:sz w:val="19"/>
              </w:rPr>
              <w:t>recent and frequent</w:t>
            </w:r>
          </w:p>
        </w:tc>
        <w:tc>
          <w:tcPr>
            <w:tcW w:type="dxa" w:w="1414"/>
          </w:tcPr>
          <w:p>
            <w:pPr>
              <w:spacing w:after="0"/>
            </w:pPr>
            <w:r>
              <w:rPr>
                <w:sz w:val="19"/>
              </w:rPr>
              <w:t>protect, recognise</w:t>
            </w:r>
          </w:p>
        </w:tc>
        <w:tc>
          <w:tcPr>
            <w:tcW w:type="dxa" w:w="3022"/>
          </w:tcPr>
          <w:p>
            <w:pPr>
              <w:spacing w:after="0"/>
            </w:pPr>
            <w:r>
              <w:rPr>
                <w:sz w:val="19"/>
              </w:rPr>
              <w:t xml:space="preserve">service, early access, VIP contact; </w:t>
            </w:r>
            <w:r>
              <w:rPr>
                <w:b/>
                <w:sz w:val="19"/>
              </w:rPr>
              <w:t>no blanket bonuses</w:t>
            </w:r>
            <w:r>
              <w:rPr>
                <w:sz w:val="19"/>
              </w:rPr>
            </w:r>
          </w:p>
        </w:tc>
        <w:tc>
          <w:tcPr>
            <w:tcW w:type="dxa" w:w="1869"/>
          </w:tcPr>
          <w:p>
            <w:pPr>
              <w:spacing w:after="0"/>
            </w:pPr>
            <w:r>
              <w:rPr>
                <w:sz w:val="19"/>
              </w:rPr>
              <w:t>any reward only through a holdout</w:t>
            </w:r>
          </w:p>
        </w:tc>
      </w:tr>
      <w:tr>
        <w:tc>
          <w:tcPr>
            <w:tcW w:type="dxa" w:w="1253"/>
          </w:tcPr>
          <w:p>
            <w:pPr>
              <w:spacing w:after="0"/>
            </w:pPr>
            <w:r>
              <w:rPr>
                <w:sz w:val="19"/>
              </w:rPr>
              <w:t>Loyal</w:t>
            </w:r>
          </w:p>
        </w:tc>
        <w:tc>
          <w:tcPr>
            <w:tcW w:type="dxa" w:w="1853"/>
          </w:tcPr>
          <w:p>
            <w:pPr>
              <w:spacing w:after="0"/>
            </w:pPr>
            <w:r>
              <w:rPr>
                <w:sz w:val="19"/>
              </w:rPr>
              <w:t>frequent, slightly "less recent"</w:t>
            </w:r>
          </w:p>
        </w:tc>
        <w:tc>
          <w:tcPr>
            <w:tcW w:type="dxa" w:w="1414"/>
          </w:tcPr>
          <w:p>
            <w:pPr>
              <w:spacing w:after="0"/>
            </w:pPr>
            <w:r>
              <w:rPr>
                <w:sz w:val="19"/>
              </w:rPr>
              <w:t>increase frequency</w:t>
            </w:r>
          </w:p>
        </w:tc>
        <w:tc>
          <w:tcPr>
            <w:tcW w:type="dxa" w:w="3022"/>
          </w:tcPr>
          <w:p>
            <w:pPr>
              <w:spacing w:after="0"/>
            </w:pPr>
            <w:r>
              <w:rPr>
                <w:sz w:val="19"/>
              </w:rPr>
              <w:t>personal content; cheap rewards only after a test</w:t>
            </w:r>
          </w:p>
        </w:tc>
        <w:tc>
          <w:tcPr>
            <w:tcW w:type="dxa" w:w="1869"/>
          </w:tcPr>
          <w:p>
            <w:pPr>
              <w:spacing w:after="0"/>
            </w:pPr>
            <w:r>
              <w:rPr>
                <w:sz w:val="19"/>
              </w:rPr>
              <w:t>early warning on slowdown</w:t>
            </w:r>
          </w:p>
        </w:tc>
      </w:tr>
      <w:tr>
        <w:tc>
          <w:tcPr>
            <w:tcW w:type="dxa" w:w="1253"/>
          </w:tcPr>
          <w:p>
            <w:pPr>
              <w:spacing w:after="0"/>
            </w:pPr>
            <w:r>
              <w:rPr>
                <w:sz w:val="19"/>
              </w:rPr>
              <w:t>Potential loyalists</w:t>
            </w:r>
          </w:p>
        </w:tc>
        <w:tc>
          <w:tcPr>
            <w:tcW w:type="dxa" w:w="1853"/>
          </w:tcPr>
          <w:p>
            <w:pPr>
              <w:spacing w:after="0"/>
            </w:pPr>
            <w:r>
              <w:rPr>
                <w:sz w:val="19"/>
              </w:rPr>
              <w:t>recent, medium frequency</w:t>
            </w:r>
          </w:p>
        </w:tc>
        <w:tc>
          <w:tcPr>
            <w:tcW w:type="dxa" w:w="1414"/>
          </w:tcPr>
          <w:p>
            <w:pPr>
              <w:spacing w:after="0"/>
            </w:pPr>
            <w:r>
              <w:rPr>
                <w:sz w:val="19"/>
              </w:rPr>
              <w:t>build a habit</w:t>
            </w:r>
          </w:p>
        </w:tc>
        <w:tc>
          <w:tcPr>
            <w:tcW w:type="dxa" w:w="3022"/>
          </w:tcPr>
          <w:p>
            <w:pPr>
              <w:spacing w:after="0"/>
            </w:pPr>
            <w:r>
              <w:rPr>
                <w:sz w:val="19"/>
              </w:rPr>
              <w:t>missions, streaks, game recommendations</w:t>
            </w:r>
          </w:p>
        </w:tc>
        <w:tc>
          <w:tcPr>
            <w:tcW w:type="dxa" w:w="1869"/>
          </w:tcPr>
          <w:p>
            <w:pPr>
              <w:spacing w:after="0"/>
            </w:pPr>
            <w:r>
              <w:rPr>
                <w:sz w:val="19"/>
              </w:rPr>
              <w:t>no more than one promo a week</w:t>
            </w:r>
          </w:p>
        </w:tc>
      </w:tr>
      <w:tr>
        <w:tc>
          <w:tcPr>
            <w:tcW w:type="dxa" w:w="1253"/>
          </w:tcPr>
          <w:p>
            <w:pPr>
              <w:spacing w:after="0"/>
            </w:pPr>
            <w:r>
              <w:rPr>
                <w:sz w:val="19"/>
              </w:rPr>
              <w:t>New / promising</w:t>
            </w:r>
          </w:p>
        </w:tc>
        <w:tc>
          <w:tcPr>
            <w:tcW w:type="dxa" w:w="1853"/>
          </w:tcPr>
          <w:p>
            <w:pPr>
              <w:spacing w:after="0"/>
            </w:pPr>
            <w:r>
              <w:rPr>
                <w:sz w:val="19"/>
              </w:rPr>
              <w:t>first deposits</w:t>
            </w:r>
          </w:p>
        </w:tc>
        <w:tc>
          <w:tcPr>
            <w:tcW w:type="dxa" w:w="1414"/>
          </w:tcPr>
          <w:p>
            <w:pPr>
              <w:spacing w:after="0"/>
            </w:pPr>
            <w:r>
              <w:rPr>
                <w:sz w:val="19"/>
              </w:rPr>
              <w:t>second deposit</w:t>
            </w:r>
          </w:p>
        </w:tc>
        <w:tc>
          <w:tcPr>
            <w:tcW w:type="dxa" w:w="3022"/>
          </w:tcPr>
          <w:p>
            <w:pPr>
              <w:spacing w:after="0"/>
            </w:pPr>
            <w:r>
              <w:rPr>
                <w:sz w:val="19"/>
              </w:rPr>
              <w:t>post-FTD journey</w:t>
            </w:r>
          </w:p>
        </w:tc>
        <w:tc>
          <w:tcPr>
            <w:tcW w:type="dxa" w:w="1869"/>
          </w:tcPr>
          <w:p>
            <w:pPr>
              <w:spacing w:after="0"/>
            </w:pPr>
            <w:r>
              <w:rPr>
                <w:sz w:val="19"/>
              </w:rPr>
              <w:t>no promos before KYC</w:t>
            </w:r>
          </w:p>
        </w:tc>
      </w:tr>
      <w:tr>
        <w:tc>
          <w:tcPr>
            <w:tcW w:type="dxa" w:w="1253"/>
          </w:tcPr>
          <w:p>
            <w:pPr>
              <w:spacing w:after="0"/>
            </w:pPr>
            <w:r>
              <w:rPr>
                <w:sz w:val="19"/>
              </w:rPr>
              <w:t>Need attention / about to sleep</w:t>
            </w:r>
          </w:p>
        </w:tc>
        <w:tc>
          <w:tcPr>
            <w:tcW w:type="dxa" w:w="1853"/>
          </w:tcPr>
          <w:p>
            <w:pPr>
              <w:spacing w:after="0"/>
            </w:pPr>
            <w:r>
              <w:rPr>
                <w:sz w:val="19"/>
              </w:rPr>
              <w:t>starting to cool down</w:t>
            </w:r>
          </w:p>
        </w:tc>
        <w:tc>
          <w:tcPr>
            <w:tcW w:type="dxa" w:w="1414"/>
          </w:tcPr>
          <w:p>
            <w:pPr>
              <w:spacing w:after="0"/>
            </w:pPr>
            <w:r>
              <w:rPr>
                <w:sz w:val="19"/>
              </w:rPr>
              <w:t>don't let them go</w:t>
            </w:r>
          </w:p>
        </w:tc>
        <w:tc>
          <w:tcPr>
            <w:tcW w:type="dxa" w:w="3022"/>
          </w:tcPr>
          <w:p>
            <w:pPr>
              <w:spacing w:after="0"/>
            </w:pPr>
            <w:r>
              <w:rPr>
                <w:sz w:val="19"/>
              </w:rPr>
              <w:t>content first, a light offer if content didn't work</w:t>
            </w:r>
          </w:p>
        </w:tc>
        <w:tc>
          <w:tcPr>
            <w:tcW w:type="dxa" w:w="1869"/>
          </w:tcPr>
          <w:p>
            <w:pPr>
              <w:spacing w:after="0"/>
            </w:pPr>
            <w:r>
              <w:rPr>
                <w:sz w:val="19"/>
              </w:rPr>
              <w:t>exclude high RG risk</w:t>
            </w:r>
          </w:p>
        </w:tc>
      </w:tr>
      <w:tr>
        <w:tc>
          <w:tcPr>
            <w:tcW w:type="dxa" w:w="1253"/>
          </w:tcPr>
          <w:p>
            <w:pPr>
              <w:spacing w:after="0"/>
            </w:pPr>
            <w:r>
              <w:rPr>
                <w:sz w:val="19"/>
              </w:rPr>
              <w:t>At risk</w:t>
            </w:r>
          </w:p>
        </w:tc>
        <w:tc>
          <w:tcPr>
            <w:tcW w:type="dxa" w:w="1853"/>
          </w:tcPr>
          <w:p>
            <w:pPr>
              <w:spacing w:after="0"/>
            </w:pPr>
            <w:r>
              <w:rPr>
                <w:sz w:val="19"/>
              </w:rPr>
              <w:t>used to be frequent, now quiet</w:t>
            </w:r>
          </w:p>
        </w:tc>
        <w:tc>
          <w:tcPr>
            <w:tcW w:type="dxa" w:w="1414"/>
          </w:tcPr>
          <w:p>
            <w:pPr>
              <w:spacing w:after="0"/>
            </w:pPr>
            <w:r>
              <w:rPr>
                <w:sz w:val="19"/>
              </w:rPr>
              <w:t>win back value</w:t>
            </w:r>
          </w:p>
        </w:tc>
        <w:tc>
          <w:tcPr>
            <w:tcW w:type="dxa" w:w="3022"/>
          </w:tcPr>
          <w:p>
            <w:pPr>
              <w:spacing w:after="0"/>
            </w:pPr>
            <w:r>
              <w:rPr>
                <w:sz w:val="19"/>
              </w:rPr>
              <w:t>personal offer with a deadline, medium and high value only</w:t>
            </w:r>
          </w:p>
        </w:tc>
        <w:tc>
          <w:tcPr>
            <w:tcW w:type="dxa" w:w="1869"/>
          </w:tcPr>
          <w:p>
            <w:pPr>
              <w:spacing w:after="0"/>
            </w:pPr>
            <w:r>
              <w:rPr>
                <w:sz w:val="19"/>
              </w:rPr>
              <w:t>mandatory holdout</w:t>
            </w:r>
          </w:p>
        </w:tc>
      </w:tr>
      <w:tr>
        <w:tc>
          <w:tcPr>
            <w:tcW w:type="dxa" w:w="1253"/>
          </w:tcPr>
          <w:p>
            <w:pPr>
              <w:spacing w:after="0"/>
            </w:pPr>
            <w:r>
              <w:rPr>
                <w:sz w:val="19"/>
              </w:rPr>
              <w:t>Can't lose them</w:t>
            </w:r>
          </w:p>
        </w:tc>
        <w:tc>
          <w:tcPr>
            <w:tcW w:type="dxa" w:w="1853"/>
          </w:tcPr>
          <w:p>
            <w:pPr>
              <w:spacing w:after="0"/>
            </w:pPr>
            <w:r>
              <w:rPr>
                <w:sz w:val="19"/>
              </w:rPr>
              <w:t>used to be very frequent, gone quiet</w:t>
            </w:r>
          </w:p>
        </w:tc>
        <w:tc>
          <w:tcPr>
            <w:tcW w:type="dxa" w:w="1414"/>
          </w:tcPr>
          <w:p>
            <w:pPr>
              <w:spacing w:after="0"/>
            </w:pPr>
            <w:r>
              <w:rPr>
                <w:sz w:val="19"/>
              </w:rPr>
              <w:t>personal win-back</w:t>
            </w:r>
          </w:p>
        </w:tc>
        <w:tc>
          <w:tcPr>
            <w:tcW w:type="dxa" w:w="3022"/>
          </w:tcPr>
          <w:p>
            <w:pPr>
              <w:spacing w:after="0"/>
            </w:pPr>
            <w:r>
              <w:rPr>
                <w:sz w:val="19"/>
              </w:rPr>
              <w:t>host call, individual offer after RG/AML check</w:t>
            </w:r>
          </w:p>
        </w:tc>
        <w:tc>
          <w:tcPr>
            <w:tcW w:type="dxa" w:w="1869"/>
          </w:tcPr>
          <w:p>
            <w:pPr>
              <w:spacing w:after="0"/>
            </w:pPr>
            <w:r>
              <w:rPr>
                <w:sz w:val="19"/>
              </w:rPr>
              <w:t>compliance first</w:t>
            </w:r>
          </w:p>
        </w:tc>
      </w:tr>
      <w:tr>
        <w:tc>
          <w:tcPr>
            <w:tcW w:type="dxa" w:w="1253"/>
          </w:tcPr>
          <w:p>
            <w:pPr>
              <w:spacing w:after="0"/>
            </w:pPr>
            <w:r>
              <w:rPr>
                <w:sz w:val="19"/>
              </w:rPr>
              <w:t>Hibernating, lost</w:t>
            </w:r>
          </w:p>
        </w:tc>
        <w:tc>
          <w:tcPr>
            <w:tcW w:type="dxa" w:w="1853"/>
          </w:tcPr>
          <w:p>
            <w:pPr>
              <w:spacing w:after="0"/>
            </w:pPr>
            <w:r>
              <w:rPr>
                <w:sz w:val="19"/>
              </w:rPr>
              <w:t>long ago and rarely</w:t>
            </w:r>
          </w:p>
        </w:tc>
        <w:tc>
          <w:tcPr>
            <w:tcW w:type="dxa" w:w="1414"/>
          </w:tcPr>
          <w:p>
            <w:pPr>
              <w:spacing w:after="0"/>
            </w:pPr>
            <w:r>
              <w:rPr>
                <w:sz w:val="19"/>
              </w:rPr>
              <w:t>cheap reactivation or goodbye</w:t>
            </w:r>
          </w:p>
        </w:tc>
        <w:tc>
          <w:tcPr>
            <w:tcW w:type="dxa" w:w="3022"/>
          </w:tcPr>
          <w:p>
            <w:pPr>
              <w:spacing w:after="0"/>
            </w:pPr>
            <w:r>
              <w:rPr>
                <w:sz w:val="19"/>
              </w:rPr>
              <w:t>automated content, no SMS</w:t>
            </w:r>
          </w:p>
        </w:tc>
        <w:tc>
          <w:tcPr>
            <w:tcW w:type="dxa" w:w="1869"/>
          </w:tcPr>
          <w:p>
            <w:pPr>
              <w:spacing w:after="0"/>
            </w:pPr>
            <w:r>
              <w:rPr>
                <w:sz w:val="19"/>
              </w:rPr>
              <w:t>protect email sender reputation</w:t>
            </w:r>
          </w:p>
        </w:tc>
      </w:tr>
    </w:tbl>
    <w:p>
      <w:pPr>
        <w:spacing w:after="40"/>
      </w:pPr>
    </w:p>
    <w:p>
      <w:pPr>
        <w:pStyle w:val="Heading2"/>
      </w:pPr>
      <w:r/>
      <w:r>
        <w:rPr/>
        <w:t>What I expect to see and why it matters</w:t>
      </w:r>
    </w:p>
    <w:p>
      <w:r>
        <w:rPr/>
        <w:t>As a rule, a small group of frequent players brings in most of the NGR. If that's the case, two things follow:</w:t>
      </w:r>
    </w:p>
    <w:p>
      <w:pPr>
        <w:tabs>
          <w:tab w:pos="397" w:val="left"/>
        </w:tabs>
        <w:spacing w:after="40"/>
        <w:ind w:left="397" w:hanging="283"/>
      </w:pPr>
      <w:r>
        <w:t>1.</w:t>
        <w:tab/>
      </w:r>
      <w:r>
        <w:rPr/>
      </w:r>
      <w:r>
        <w:rPr>
          <w:b/>
        </w:rPr>
        <w:t>Protecting Champions matters more than any mass promo.</w:t>
      </w:r>
      <w:r>
        <w:rPr/>
        <w:t xml:space="preserve"> Losing a few of them costs more than a mass campaign brings in.</w:t>
      </w:r>
    </w:p>
    <w:p>
      <w:pPr>
        <w:tabs>
          <w:tab w:pos="397" w:val="left"/>
        </w:tabs>
        <w:spacing w:after="40"/>
        <w:ind w:left="397" w:hanging="283"/>
      </w:pPr>
      <w:r>
        <w:t>2.</w:t>
        <w:tab/>
      </w:r>
      <w:r>
        <w:rPr/>
      </w:r>
      <w:r>
        <w:rPr>
          <w:b/>
        </w:rPr>
        <w:t>The Friday reload is probably paying the wrong people.</w:t>
      </w:r>
      <w:r>
        <w:rPr/>
        <w:t xml:space="preserve"> Champions deposit on Fridays anyway, and Lost players don't react to €50. The bonus mostly lands where it changes nothing.</w:t>
      </w:r>
    </w:p>
    <w:p>
      <w:r>
        <w:rPr/>
        <w:t>I'd also count players with negative lifetime NGR, i.e. those who got more back in wins and bonuses than they lost. With blanket bonuses this group usually grows.</w:t>
      </w:r>
    </w:p>
    <w:p>
      <w:pPr>
        <w:pStyle w:val="Heading2"/>
      </w:pPr>
      <w:r/>
      <w:r>
        <w:rPr/>
        <w:t>How I would measure it</w:t>
      </w:r>
    </w:p>
    <w:p>
      <w:r>
        <w:rPr/>
        <w:t>The value of segmentation shows up in tests: segment-based vs blanket, with a random holdout in each.</w:t>
      </w:r>
      <w:r>
        <w:br/>
      </w:r>
      <w:r>
        <w:rPr/>
        <w:t>For the Friday reload, the first thing I'd run is a "reload vs no reload" test among Champions. If deposits don't drop, the savings start straight away.</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 w:eastAsiaTheme="majorEastAsia" w:hAnsiTheme=""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 w:eastAsiaTheme="majorEastAsia" w:hAnsiTheme=""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 w:eastAsiaTheme="majorEastAsia" w:hAnsiTheme=""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