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t>Case 05 - Win-back campaign</w:t>
      </w:r>
    </w:p>
    <w:p>
      <w:pPr>
        <w:spacing w:before="80" w:after="160"/>
        <w:ind w:left="227"/>
        <w:pBdr>
          <w:left w:val="single" w:sz="18" w:space="8" w:color="1F3A5F"/>
        </w:pBdr>
        <w:shd w:val="clear" w:color="auto" w:fill="F1F4F8"/>
      </w:pPr>
      <w:r>
        <w:rPr/>
      </w:r>
      <w:r>
        <w:rPr>
          <w:b/>
        </w:rPr>
        <w:t>In short:</w:t>
      </w:r>
      <w:r>
        <w:rPr/>
        <w:t xml:space="preserve"> I compare the test group with the control group, check that the difference isn't random, and work out whether the extra money covers the bonus cost.</w:t>
      </w:r>
    </w:p>
    <w:p>
      <w:pPr>
        <w:pStyle w:val="Heading2"/>
      </w:pPr>
      <w:r/>
      <w:r>
        <w:rPr/>
        <w:t>Situation</w:t>
      </w:r>
    </w:p>
    <w:p>
      <w:r>
        <w:rPr>
          <w:i/>
        </w:rPr>
        <w:t>Made-up numbers for the exercise.</w:t>
      </w:r>
    </w:p>
    <w:p>
      <w:r>
        <w:rPr/>
        <w:t>A reactivation campaign ran for 30 days with a 95% / 5% split.</w:t>
      </w:r>
    </w:p>
    <w:tbl>
      <w:tblPr>
        <w:tblStyle w:val="TableGrid"/>
        <w:tblW w:type="auto" w:w="0"/>
        <w:jc w:val="center"/>
        <w:tblLayout w:type="fixed"/>
        <w:tblLook w:firstColumn="1" w:firstRow="1" w:lastColumn="0" w:lastRow="0" w:noHBand="0" w:noVBand="1" w:val="04A0"/>
      </w:tblPr>
      <w:tblGrid>
        <w:gridCol w:w="4873"/>
        <w:gridCol w:w="2269"/>
        <w:gridCol w:w="2269"/>
      </w:tblGrid>
      <w:tr>
        <w:tc>
          <w:tcPr>
            <w:tcW w:type="dxa" w:w="4873"/>
            <w:shd w:val="clear" w:color="auto" w:fill="DCE4EE"/>
          </w:tcPr>
          <w:p>
            <w:pPr>
              <w:spacing w:after="0"/>
            </w:pPr>
          </w:p>
        </w:tc>
        <w:tc>
          <w:tcPr>
            <w:tcW w:type="dxa" w:w="2269"/>
            <w:shd w:val="clear" w:color="auto" w:fill="DCE4EE"/>
          </w:tcPr>
          <w:p>
            <w:pPr>
              <w:spacing w:after="0"/>
            </w:pPr>
            <w:r>
              <w:rPr>
                <w:b/>
                <w:sz w:val="19"/>
              </w:rPr>
              <w:t>Test group</w:t>
            </w:r>
          </w:p>
        </w:tc>
        <w:tc>
          <w:tcPr>
            <w:tcW w:type="dxa" w:w="2269"/>
            <w:shd w:val="clear" w:color="auto" w:fill="DCE4EE"/>
          </w:tcPr>
          <w:p>
            <w:pPr>
              <w:spacing w:after="0"/>
            </w:pPr>
            <w:r>
              <w:rPr>
                <w:b/>
                <w:sz w:val="19"/>
              </w:rPr>
              <w:t>Control group</w:t>
            </w:r>
          </w:p>
        </w:tc>
      </w:tr>
      <w:tr>
        <w:tc>
          <w:tcPr>
            <w:tcW w:type="dxa" w:w="4873"/>
          </w:tcPr>
          <w:p>
            <w:pPr>
              <w:spacing w:after="0"/>
            </w:pPr>
            <w:r>
              <w:rPr>
                <w:sz w:val="19"/>
              </w:rPr>
              <w:t>Players</w:t>
            </w:r>
          </w:p>
        </w:tc>
        <w:tc>
          <w:tcPr>
            <w:tcW w:type="dxa" w:w="2269"/>
          </w:tcPr>
          <w:p>
            <w:pPr>
              <w:spacing w:after="0"/>
            </w:pPr>
            <w:r>
              <w:rPr>
                <w:sz w:val="19"/>
              </w:rPr>
              <w:t>9,500</w:t>
            </w:r>
          </w:p>
        </w:tc>
        <w:tc>
          <w:tcPr>
            <w:tcW w:type="dxa" w:w="2269"/>
          </w:tcPr>
          <w:p>
            <w:pPr>
              <w:spacing w:after="0"/>
            </w:pPr>
            <w:r>
              <w:rPr>
                <w:sz w:val="19"/>
              </w:rPr>
              <w:t>500</w:t>
            </w:r>
          </w:p>
        </w:tc>
      </w:tr>
      <w:tr>
        <w:tc>
          <w:tcPr>
            <w:tcW w:type="dxa" w:w="4873"/>
          </w:tcPr>
          <w:p>
            <w:pPr>
              <w:spacing w:after="0"/>
            </w:pPr>
            <w:r>
              <w:rPr>
                <w:sz w:val="19"/>
              </w:rPr>
              <w:t>Deposited within 30 days</w:t>
            </w:r>
          </w:p>
        </w:tc>
        <w:tc>
          <w:tcPr>
            <w:tcW w:type="dxa" w:w="2269"/>
          </w:tcPr>
          <w:p>
            <w:pPr>
              <w:spacing w:after="0"/>
            </w:pPr>
            <w:r>
              <w:rPr>
                <w:sz w:val="19"/>
              </w:rPr>
              <w:t>3,040</w:t>
            </w:r>
          </w:p>
        </w:tc>
        <w:tc>
          <w:tcPr>
            <w:tcW w:type="dxa" w:w="2269"/>
          </w:tcPr>
          <w:p>
            <w:pPr>
              <w:spacing w:after="0"/>
            </w:pPr>
            <w:r>
              <w:rPr>
                <w:sz w:val="19"/>
              </w:rPr>
              <w:t>135</w:t>
            </w:r>
          </w:p>
        </w:tc>
      </w:tr>
      <w:tr>
        <w:tc>
          <w:tcPr>
            <w:tcW w:type="dxa" w:w="4873"/>
          </w:tcPr>
          <w:p>
            <w:pPr>
              <w:spacing w:after="0"/>
            </w:pPr>
            <w:r>
              <w:rPr>
                <w:sz w:val="19"/>
              </w:rPr>
              <w:t>Active (placed a bet) on day 30</w:t>
            </w:r>
          </w:p>
        </w:tc>
        <w:tc>
          <w:tcPr>
            <w:tcW w:type="dxa" w:w="2269"/>
          </w:tcPr>
          <w:p>
            <w:pPr>
              <w:spacing w:after="0"/>
            </w:pPr>
            <w:r>
              <w:rPr>
                <w:sz w:val="19"/>
              </w:rPr>
              <w:t>2,233</w:t>
            </w:r>
          </w:p>
        </w:tc>
        <w:tc>
          <w:tcPr>
            <w:tcW w:type="dxa" w:w="2269"/>
          </w:tcPr>
          <w:p>
            <w:pPr>
              <w:spacing w:after="0"/>
            </w:pPr>
            <w:r>
              <w:rPr>
                <w:sz w:val="19"/>
              </w:rPr>
              <w:t>100</w:t>
            </w:r>
          </w:p>
        </w:tc>
      </w:tr>
      <w:tr>
        <w:tc>
          <w:tcPr>
            <w:tcW w:type="dxa" w:w="4873"/>
          </w:tcPr>
          <w:p>
            <w:pPr>
              <w:spacing w:after="0"/>
            </w:pPr>
            <w:r>
              <w:rPr>
                <w:sz w:val="19"/>
              </w:rPr>
              <w:t>NGR excluding this campaign's bonuses</w:t>
            </w:r>
          </w:p>
        </w:tc>
        <w:tc>
          <w:tcPr>
            <w:tcW w:type="dxa" w:w="2269"/>
          </w:tcPr>
          <w:p>
            <w:pPr>
              <w:spacing w:after="0"/>
            </w:pPr>
            <w:r>
              <w:rPr>
                <w:sz w:val="19"/>
              </w:rPr>
              <w:t>€220,000</w:t>
            </w:r>
          </w:p>
        </w:tc>
        <w:tc>
          <w:tcPr>
            <w:tcW w:type="dxa" w:w="2269"/>
          </w:tcPr>
          <w:p>
            <w:pPr>
              <w:spacing w:after="0"/>
            </w:pPr>
            <w:r>
              <w:rPr>
                <w:sz w:val="19"/>
              </w:rPr>
              <w:t>€10,000</w:t>
            </w:r>
          </w:p>
        </w:tc>
      </w:tr>
      <w:tr>
        <w:tc>
          <w:tcPr>
            <w:tcW w:type="dxa" w:w="4873"/>
          </w:tcPr>
          <w:p>
            <w:pPr>
              <w:spacing w:after="0"/>
            </w:pPr>
            <w:r>
              <w:rPr>
                <w:sz w:val="19"/>
              </w:rPr>
              <w:t>Campaign bonus cost</w:t>
            </w:r>
          </w:p>
        </w:tc>
        <w:tc>
          <w:tcPr>
            <w:tcW w:type="dxa" w:w="2269"/>
          </w:tcPr>
          <w:p>
            <w:pPr>
              <w:spacing w:after="0"/>
            </w:pPr>
            <w:r>
              <w:rPr>
                <w:sz w:val="19"/>
              </w:rPr>
              <w:t>€24,000</w:t>
            </w:r>
          </w:p>
        </w:tc>
        <w:tc>
          <w:tcPr>
            <w:tcW w:type="dxa" w:w="2269"/>
          </w:tcPr>
          <w:p>
            <w:pPr>
              <w:spacing w:after="0"/>
            </w:pPr>
            <w:r>
              <w:rPr>
                <w:sz w:val="19"/>
              </w:rPr>
              <w:t>€0</w:t>
            </w:r>
          </w:p>
        </w:tc>
      </w:tr>
    </w:tbl>
    <w:p>
      <w:pPr>
        <w:spacing w:after="40"/>
      </w:pPr>
    </w:p>
    <w:p>
      <w:r>
        <w:rPr/>
        <w:t>The marketing summary says: "3,040 players reactivated, the campaign brought in €220k".</w:t>
      </w:r>
    </w:p>
    <w:p>
      <w:pPr>
        <w:pStyle w:val="Heading2"/>
      </w:pPr>
      <w:r/>
      <w:r>
        <w:rPr/>
        <w:t>How I read it: nine questions in order</w:t>
      </w:r>
    </w:p>
    <w:p>
      <w:r>
        <w:rPr/>
      </w:r>
      <w:r>
        <w:rPr>
          <w:b/>
        </w:rPr>
        <w:t>1. Is the test group better than control?</w:t>
      </w:r>
      <w:r>
        <w:rPr/>
      </w:r>
      <w:r>
        <w:br/>
      </w:r>
      <w:r>
        <w:rPr/>
        <w:t xml:space="preserve">Deposit rate: 3,040 / 9,500 = </w:t>
      </w:r>
      <w:r>
        <w:rPr>
          <w:b/>
        </w:rPr>
        <w:t>32.0%</w:t>
      </w:r>
      <w:r>
        <w:rPr/>
        <w:t xml:space="preserve"> vs 135 / 500 = </w:t>
      </w:r>
      <w:r>
        <w:rPr>
          <w:b/>
        </w:rPr>
        <w:t>27.0%</w:t>
      </w:r>
      <w:r>
        <w:rPr/>
        <w:t>.</w:t>
      </w:r>
    </w:p>
    <w:p>
      <w:r>
        <w:rPr/>
      </w:r>
      <w:r>
        <w:rPr>
          <w:b/>
        </w:rPr>
        <w:t>2. By how much?</w:t>
      </w:r>
      <w:r>
        <w:rPr/>
      </w:r>
      <w:r>
        <w:br/>
      </w:r>
      <w:r>
        <w:rPr/>
        <w:t xml:space="preserve">+5.0 percentage points in absolute terms; 5 / 27 = </w:t>
      </w:r>
      <w:r>
        <w:rPr>
          <w:b/>
        </w:rPr>
        <w:t>+18.5%</w:t>
      </w:r>
      <w:r>
        <w:rPr/>
        <w:t xml:space="preserve"> in relative terms.</w:t>
      </w:r>
    </w:p>
    <w:p>
      <w:r>
        <w:rPr/>
      </w:r>
      <w:r>
        <w:rPr>
          <w:b/>
        </w:rPr>
        <w:t>3. How many deposits did the campaign actually cause?</w:t>
      </w:r>
      <w:r>
        <w:rPr/>
      </w:r>
      <w:r>
        <w:br/>
      </w:r>
      <w:r>
        <w:rPr/>
        <w:t xml:space="preserve">If the test group had behaved like control: 9,500 × 27% = 2,565 depositors. Actual: 3,040. Difference: 3,040 - 2,565 = </w:t>
      </w:r>
      <w:r>
        <w:rPr>
          <w:b/>
        </w:rPr>
        <w:t>475 extra deposits</w:t>
      </w:r>
      <w:r>
        <w:rPr/>
        <w:t>.</w:t>
      </w:r>
    </w:p>
    <w:p>
      <w:r>
        <w:rPr/>
      </w:r>
      <w:r>
        <w:rPr>
          <w:b/>
        </w:rPr>
        <w:t>4. Is it statistically convincing?</w:t>
      </w:r>
      <w:r>
        <w:rPr/>
      </w:r>
      <w:r>
        <w:br/>
      </w:r>
      <w:r>
        <w:rPr/>
        <w:t xml:space="preserve">Two-proportion z-test: z ≈ 2.34, </w:t>
      </w:r>
      <w:r>
        <w:rPr>
          <w:b/>
        </w:rPr>
        <w:t>p ≈ 0.02</w:t>
      </w:r>
      <w:r>
        <w:rPr/>
        <w:t>. At the usual 5% level, unlikely to be chance.</w:t>
      </w:r>
      <w:r>
        <w:br/>
      </w:r>
      <w:r>
        <w:rPr/>
        <w:t xml:space="preserve">Activity on day 30: 23.5% vs 20.0%, z ≈ 1.81, </w:t>
      </w:r>
      <w:r>
        <w:rPr>
          <w:b/>
        </w:rPr>
        <w:t>p ≈ 0.07</w:t>
      </w:r>
      <w:r>
        <w:rPr/>
        <w:t>. The direction is positive.</w:t>
      </w:r>
    </w:p>
    <w:p>
      <w:r>
        <w:rPr/>
      </w:r>
      <w:r>
        <w:rPr>
          <w:b/>
        </w:rPr>
        <w:t>5. How much money did it bring in?</w:t>
      </w:r>
      <w:r>
        <w:rPr/>
      </w:r>
      <w:r>
        <w:br/>
      </w:r>
      <w:r>
        <w:rPr/>
        <w:t xml:space="preserve">Per player: €220,000 / 9,500 = €23.16 vs €10,000 / 500 = €20.00. Expected revenue of the test group without the campaign: 9,500 × €20 = €190,000. </w:t>
      </w:r>
      <w:r>
        <w:rPr>
          <w:b/>
        </w:rPr>
        <w:t>Incremental revenue before bonuses ≈ €30,000.</w:t>
      </w:r>
      <w:r>
        <w:rPr/>
      </w:r>
    </w:p>
    <w:p>
      <w:r>
        <w:rPr/>
        <w:t>But €3 per player could also be noise: revenue per player is widely spread, and the control group has only 500 people. So €30,000 is an estimate, not an exact number.</w:t>
      </w:r>
    </w:p>
    <w:p>
      <w:r>
        <w:rPr/>
      </w:r>
      <w:r>
        <w:rPr>
          <w:b/>
        </w:rPr>
        <w:t>6. What did it cost?</w:t>
      </w:r>
      <w:r>
        <w:rPr/>
      </w:r>
      <w:r>
        <w:br/>
      </w:r>
      <w:r>
        <w:rPr/>
        <w:t>€24,000 in bonuses (plus a bit on channels).</w:t>
      </w:r>
    </w:p>
    <w:p>
      <w:r>
        <w:rPr/>
      </w:r>
      <w:r>
        <w:rPr>
          <w:b/>
        </w:rPr>
        <w:t>7. Is the contribution positive?</w:t>
      </w:r>
      <w:r>
        <w:rPr/>
      </w:r>
      <w:r>
        <w:br/>
      </w:r>
      <w:r>
        <w:rPr/>
        <w:t xml:space="preserve">€30,000 - €24,000 = </w:t>
      </w:r>
      <w:r>
        <w:rPr>
          <w:b/>
        </w:rPr>
        <w:t>€6,000.</w:t>
      </w:r>
      <w:r>
        <w:rPr/>
        <w:t xml:space="preserve"> The bonus ate 80% of what the campaign brought in.</w:t>
      </w:r>
    </w:p>
    <w:p>
      <w:r>
        <w:rPr/>
      </w:r>
      <w:r>
        <w:rPr>
          <w:b/>
        </w:rPr>
        <w:t>8. What's the ROI?</w:t>
      </w:r>
      <w:r>
        <w:rPr/>
      </w:r>
      <w:r>
        <w:br/>
      </w:r>
      <w:r>
        <w:rPr/>
        <w:t xml:space="preserve">(30,000 - 24,000) / 24,000 = </w:t>
      </w:r>
      <w:r>
        <w:rPr>
          <w:b/>
        </w:rPr>
        <w:t>25%</w:t>
      </w:r>
      <w:r>
        <w:rPr/>
      </w:r>
    </w:p>
    <w:p>
      <w:r>
        <w:rPr/>
      </w:r>
      <w:r>
        <w:rPr>
          <w:b/>
        </w:rPr>
        <w:t>9. Can we get the same effect for less?</w:t>
      </w:r>
      <w:r>
        <w:rPr/>
      </w:r>
      <w:r>
        <w:br/>
      </w:r>
      <w:r>
        <w:rPr/>
        <w:t>That needs one more test: do lapsed players need a bonus, or is content enough?</w:t>
      </w:r>
    </w:p>
    <w:p>
      <w:pPr>
        <w:pStyle w:val="Heading2"/>
      </w:pPr>
      <w:r/>
      <w:r>
        <w:rPr/>
        <w:t>My conclusion: rework and scale selectively</w:t>
      </w:r>
    </w:p>
    <w:p>
      <w:r>
        <w:rPr/>
        <w:t>There's enough evidence not to shut the campaign down, but not enough to roll it out to everyone. I'd keep the audience logic, the trigger, the multichannel journey and the control group. And I'd change the incentive size, eligibility by value tier, the channel mix and contact frequency.</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 w:eastAsiaTheme="majorEastAsia" w:hAnsiTheme=""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 w:eastAsiaTheme="majorEastAsia" w:hAnsiTheme=""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 w:eastAsiaTheme="majorEastAsia" w:hAnsiTheme=""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