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Case 08 - Cross-selling sports bettors into casino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In short:</w:t>
      </w:r>
      <w:r>
        <w:rPr/>
        <w:t xml:space="preserve"> I cross-sell only to players who already show some interest in casino, and only when they're not busy with sports. First content about one product. I judge it on the incremental NGR of both products together, so we don't end up just moving money from one pocket to another.</w:t>
      </w:r>
    </w:p>
    <w:p>
      <w:pPr>
        <w:pStyle w:val="Heading2"/>
      </w:pPr>
      <w:r/>
      <w:r>
        <w:rPr/>
        <w:t>Situation</w:t>
      </w:r>
    </w:p>
    <w:p>
      <w:r>
        <w:rPr>
          <w:i/>
        </w:rPr>
        <w:t>Made-up numbers for the exercise.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40% of active players bet on sports only.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Management wants more of them to try casino: multi-product players look more valuable.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What happens now: a "Try casino - get 50 free spins" banner for all sports players.</w:t>
      </w:r>
    </w:p>
    <w:p>
      <w:pPr>
        <w:pStyle w:val="Heading2"/>
      </w:pPr>
      <w:r/>
      <w:r>
        <w:rPr/>
        <w:t>How I approach it</w:t>
      </w:r>
    </w:p>
    <w:p>
      <w:r>
        <w:rPr/>
        <w:t xml:space="preserve">"Multi-product players are more valuable" is a correlation. People who already like both products are probably more engaged in general. It doesn't follow that pushing casino on a pure bettor will make them more valuable. The question is whether the cross-sell creates </w:t>
      </w:r>
      <w:r>
        <w:rPr>
          <w:b/>
        </w:rPr>
        <w:t>extra</w:t>
      </w:r>
      <w:r>
        <w:rPr/>
        <w:t xml:space="preserve"> value or just moves money from sports to casino.</w:t>
      </w:r>
    </w:p>
    <w:p>
      <w:pPr>
        <w:pStyle w:val="Heading2"/>
      </w:pPr>
      <w:r/>
      <w:r>
        <w:rPr/>
        <w:t>Segmentation</w:t>
      </w:r>
    </w:p>
    <w:p>
      <w:r>
        <w:rPr/>
        <w:t>I wouldn't treat "sports players" as one group: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78"/>
        <w:gridCol w:w="5333"/>
      </w:tblGrid>
      <w:tr>
        <w:tc>
          <w:tcPr>
            <w:tcW w:type="dxa" w:w="407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Segment</w:t>
            </w:r>
          </w:p>
        </w:tc>
        <w:tc>
          <w:tcPr>
            <w:tcW w:type="dxa" w:w="533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Likely response</w:t>
            </w:r>
          </w:p>
        </w:tc>
      </w:tr>
      <w:tr>
        <w:tc>
          <w:tcPr>
            <w:tcW w:type="dxa" w:w="4078"/>
          </w:tcPr>
          <w:p>
            <w:pPr>
              <w:spacing w:after="0"/>
            </w:pPr>
            <w:r>
              <w:rPr>
                <w:sz w:val="19"/>
              </w:rPr>
              <w:t>Already visited the casino (demo, one session)</w:t>
            </w:r>
          </w:p>
        </w:tc>
        <w:tc>
          <w:tcPr>
            <w:tcW w:type="dxa" w:w="5333"/>
          </w:tcPr>
          <w:p>
            <w:pPr>
              <w:spacing w:after="0"/>
            </w:pPr>
            <w:r>
              <w:rPr>
                <w:sz w:val="19"/>
              </w:rPr>
              <w:t>highest interest, I start with them</w:t>
            </w:r>
          </w:p>
        </w:tc>
      </w:tr>
      <w:tr>
        <w:tc>
          <w:tcPr>
            <w:tcW w:type="dxa" w:w="4078"/>
          </w:tcPr>
          <w:p>
            <w:pPr>
              <w:spacing w:after="0"/>
            </w:pPr>
            <w:r>
              <w:rPr>
                <w:sz w:val="19"/>
              </w:rPr>
              <w:t>Bet on sports often</w:t>
            </w:r>
          </w:p>
        </w:tc>
        <w:tc>
          <w:tcPr>
            <w:tcW w:type="dxa" w:w="5333"/>
          </w:tcPr>
          <w:p>
            <w:pPr>
              <w:spacing w:after="0"/>
            </w:pPr>
            <w:r>
              <w:rPr>
                <w:sz w:val="19"/>
              </w:rPr>
              <w:t>engaged, fast games might work for them</w:t>
            </w:r>
          </w:p>
        </w:tc>
      </w:tr>
      <w:tr>
        <w:tc>
          <w:tcPr>
            <w:tcW w:type="dxa" w:w="4078"/>
          </w:tcPr>
          <w:p>
            <w:pPr>
              <w:spacing w:after="0"/>
            </w:pPr>
            <w:r>
              <w:rPr>
                <w:sz w:val="19"/>
              </w:rPr>
              <w:t>Bet only at weekends, around events</w:t>
            </w:r>
          </w:p>
        </w:tc>
        <w:tc>
          <w:tcPr>
            <w:tcW w:type="dxa" w:w="5333"/>
          </w:tcPr>
          <w:p>
            <w:pPr>
              <w:spacing w:after="0"/>
            </w:pPr>
            <w:r>
              <w:rPr>
                <w:sz w:val="19"/>
              </w:rPr>
              <w:t>low interest, they come for the football</w:t>
            </w:r>
          </w:p>
        </w:tc>
      </w:tr>
      <w:tr>
        <w:tc>
          <w:tcPr>
            <w:tcW w:type="dxa" w:w="4078"/>
          </w:tcPr>
          <w:p>
            <w:pPr>
              <w:spacing w:after="0"/>
            </w:pPr>
            <w:r>
              <w:rPr>
                <w:sz w:val="19"/>
              </w:rPr>
              <w:t>High-value sports players</w:t>
            </w:r>
          </w:p>
        </w:tc>
        <w:tc>
          <w:tcPr>
            <w:tcW w:type="dxa" w:w="5333"/>
          </w:tcPr>
          <w:p>
            <w:pPr>
              <w:spacing w:after="0"/>
            </w:pPr>
            <w:r>
              <w:rPr>
                <w:sz w:val="19"/>
              </w:rPr>
              <w:t>careful: breaking their habits can hurt core revenue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Journey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3"/>
        <w:gridCol w:w="1371"/>
        <w:gridCol w:w="5727"/>
      </w:tblGrid>
      <w:tr>
        <w:tc>
          <w:tcPr>
            <w:tcW w:type="dxa" w:w="231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type="dxa" w:w="137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Channel</w:t>
            </w:r>
          </w:p>
        </w:tc>
        <w:tc>
          <w:tcPr>
            <w:tcW w:type="dxa" w:w="572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Content</w:t>
            </w:r>
          </w:p>
        </w:tc>
      </w:tr>
      <w:tr>
        <w:tc>
          <w:tcPr>
            <w:tcW w:type="dxa" w:w="2313"/>
          </w:tcPr>
          <w:p>
            <w:pPr>
              <w:spacing w:after="0"/>
            </w:pPr>
            <w:r>
              <w:rPr>
                <w:sz w:val="19"/>
              </w:rPr>
              <w:t>A quiet moment (no big matches, after the weekend)</w:t>
            </w:r>
          </w:p>
        </w:tc>
        <w:tc>
          <w:tcPr>
            <w:tcW w:type="dxa" w:w="1371"/>
          </w:tcPr>
          <w:p>
            <w:pPr>
              <w:spacing w:after="0"/>
            </w:pPr>
            <w:r>
              <w:rPr>
                <w:sz w:val="19"/>
              </w:rPr>
              <w:t>In-app</w:t>
            </w:r>
          </w:p>
        </w:tc>
        <w:tc>
          <w:tcPr>
            <w:tcW w:type="dxa" w:w="5727"/>
          </w:tcPr>
          <w:p>
            <w:pPr>
              <w:spacing w:after="0"/>
            </w:pPr>
            <w:r>
              <w:rPr>
                <w:sz w:val="19"/>
              </w:rPr>
              <w:t>Casino intro tile: games close to sports interests (live shows, fast games)</w:t>
            </w:r>
          </w:p>
        </w:tc>
      </w:tr>
      <w:tr>
        <w:tc>
          <w:tcPr>
            <w:tcW w:type="dxa" w:w="2313"/>
          </w:tcPr>
          <w:p>
            <w:pPr>
              <w:spacing w:after="0"/>
            </w:pPr>
            <w:r>
              <w:rPr>
                <w:sz w:val="19"/>
              </w:rPr>
              <w:t>+2 days</w:t>
            </w:r>
          </w:p>
        </w:tc>
        <w:tc>
          <w:tcPr>
            <w:tcW w:type="dxa" w:w="1371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5727"/>
          </w:tcPr>
          <w:p>
            <w:pPr>
              <w:spacing w:after="0"/>
            </w:pPr>
            <w:r>
              <w:rPr>
                <w:sz w:val="19"/>
              </w:rPr>
              <w:t>"New to casino?" How it works, demo games, how to set limits</w:t>
            </w:r>
          </w:p>
        </w:tc>
      </w:tr>
      <w:tr>
        <w:tc>
          <w:tcPr>
            <w:tcW w:type="dxa" w:w="2313"/>
          </w:tcPr>
          <w:p>
            <w:pPr>
              <w:spacing w:after="0"/>
            </w:pPr>
            <w:r>
              <w:rPr>
                <w:sz w:val="19"/>
              </w:rPr>
              <w:t>+5 days</w:t>
            </w:r>
          </w:p>
        </w:tc>
        <w:tc>
          <w:tcPr>
            <w:tcW w:type="dxa" w:w="1371"/>
          </w:tcPr>
          <w:p>
            <w:pPr>
              <w:spacing w:after="0"/>
            </w:pPr>
            <w:r>
              <w:rPr>
                <w:sz w:val="19"/>
              </w:rPr>
              <w:t>Push</w:t>
            </w:r>
          </w:p>
        </w:tc>
        <w:tc>
          <w:tcPr>
            <w:tcW w:type="dxa" w:w="5727"/>
          </w:tcPr>
          <w:p>
            <w:pPr>
              <w:spacing w:after="0"/>
            </w:pPr>
            <w:r>
              <w:rPr>
                <w:sz w:val="19"/>
              </w:rPr>
              <w:t>Casino free spins, separate from any sports offers, with simple terms</w:t>
            </w:r>
          </w:p>
        </w:tc>
      </w:tr>
      <w:tr>
        <w:tc>
          <w:tcPr>
            <w:tcW w:type="dxa" w:w="2313"/>
          </w:tcPr>
          <w:p>
            <w:pPr>
              <w:spacing w:after="0"/>
            </w:pPr>
            <w:r>
              <w:rPr>
                <w:sz w:val="19"/>
              </w:rPr>
              <w:t>Day 14</w:t>
            </w:r>
          </w:p>
        </w:tc>
        <w:tc>
          <w:tcPr>
            <w:tcW w:type="dxa" w:w="1371"/>
          </w:tcPr>
          <w:p>
            <w:pPr>
              <w:spacing w:after="0"/>
            </w:pPr>
          </w:p>
        </w:tc>
        <w:tc>
          <w:tcPr>
            <w:tcW w:type="dxa" w:w="5727"/>
          </w:tcPr>
          <w:p>
            <w:pPr>
              <w:spacing w:after="0"/>
            </w:pPr>
            <w:r>
              <w:rPr>
                <w:sz w:val="19"/>
              </w:rPr>
              <w:t>Exit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Exclusions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Players who already play casino.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Players who opted out of casino marketing; jurisdictions without casino.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Bonus abuse flags.</w:t>
      </w:r>
    </w:p>
    <w:p>
      <w:pPr>
        <w:pStyle w:val="Heading2"/>
      </w:pPr>
      <w:r/>
      <w:r>
        <w:rPr/>
        <w:t>How I would measure it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Primary KPI:</w:t>
      </w:r>
      <w:r>
        <w:rPr/>
        <w:t xml:space="preserve"> first casino bet within 14 days.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Decision metric:</w:t>
      </w:r>
      <w:r>
        <w:rPr/>
        <w:t xml:space="preserve"> </w:t>
      </w:r>
      <w:r>
        <w:rPr>
          <w:b/>
        </w:rPr>
        <w:t>total</w:t>
      </w:r>
      <w:r>
        <w:rPr/>
        <w:t xml:space="preserve"> NGR per player (sports + casino) over 60 days, test vs control. If casino NGR went up and sports NGR went down by the same amount, the campaign created nothing.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Holdout:</w:t>
      </w:r>
      <w:r>
        <w:rPr/>
        <w:t xml:space="preserve"> 20%. The baseline conversion is low, so the control group needs to be bigger.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