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Tiered reactivation: cooling -&gt; at risk -&gt; dormant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In short:</w:t>
      </w:r>
      <w:r>
        <w:rPr/>
        <w:t xml:space="preserve"> a win-back for players who stopped depositing. Content first, money only if content didn't work, the biggest offer only for players whose return is worth it. A random control group is mandatory. The goal is a deposit within 30 days.</w:t>
      </w:r>
    </w:p>
    <w:p>
      <w:pPr>
        <w:pStyle w:val="Heading2"/>
      </w:pPr>
      <w:r/>
      <w:r>
        <w:rPr/>
        <w:t>Task</w:t>
      </w:r>
    </w:p>
    <w:p>
      <w:r>
        <w:rPr/>
        <w:t>Lapsing players are the biggest group CRM can reach, and many of them come back on their own. If 30% of the people we messaged came back, that doesn't mean the campaign brought back 30%: it brought back the difference between them and the control group. A win-back should spend contacts and bonuses only where they change the result.</w:t>
      </w:r>
    </w:p>
    <w:p>
      <w:pPr>
        <w:pStyle w:val="Heading2"/>
      </w:pPr>
      <w:r/>
      <w:r>
        <w:rPr/>
        <w:t>Campaign 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4"/>
        <w:gridCol w:w="7627"/>
      </w:tblGrid>
      <w:tr>
        <w:tc>
          <w:tcPr>
            <w:tcW w:type="dxa" w:w="178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762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Type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sz w:val="19"/>
              </w:rPr>
              <w:t>triggered, on segment entry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Entry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sz w:val="19"/>
              </w:rPr>
              <w:t>last deposit 14-90 days ago (the 14-day point is tuned on the natural return curve)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Re-entry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sz w:val="19"/>
              </w:rPr>
              <w:t>no more than once every 60 days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Goal (conversion)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deposit_made</w:t>
            </w:r>
            <w:r>
              <w:rPr>
                <w:sz w:val="19"/>
              </w:rPr>
              <w:t xml:space="preserve"> within 30 days of entry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Exit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sz w:val="19"/>
              </w:rPr>
              <w:t xml:space="preserve">deposit -&gt; </w:t>
            </w:r>
            <w:r>
              <w:rPr>
                <w:i/>
                <w:sz w:val="19"/>
              </w:rPr>
              <w:t>Priority</w:t>
            </w:r>
            <w:r>
              <w:rPr>
                <w:sz w:val="19"/>
              </w:rPr>
              <w:t xml:space="preserve">; self-exclusion or time-out; RG High; day 45 -&gt; </w:t>
            </w:r>
            <w:r>
              <w:rPr>
                <w:i/>
                <w:sz w:val="19"/>
              </w:rPr>
              <w:t>Low frequency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Priority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sz w:val="19"/>
              </w:rPr>
              <w:t>below onboarding, second deposit and VIP; above cross-sell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Channels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sz w:val="19"/>
              </w:rPr>
              <w:t>email, push, SMS; VIP manager for high value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Holdout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sz w:val="19"/>
              </w:rPr>
              <w:t>15% at entry; 25% for high value</w:t>
            </w:r>
          </w:p>
        </w:tc>
      </w:tr>
      <w:tr>
        <w:tc>
          <w:tcPr>
            <w:tcW w:type="dxa" w:w="1784"/>
          </w:tcPr>
          <w:p>
            <w:pPr>
              <w:spacing w:after="0"/>
            </w:pPr>
            <w:r>
              <w:rPr>
                <w:sz w:val="19"/>
              </w:rPr>
              <w:t>Owner</w:t>
            </w:r>
          </w:p>
        </w:tc>
        <w:tc>
          <w:tcPr>
            <w:tcW w:type="dxa" w:w="7627"/>
          </w:tcPr>
          <w:p>
            <w:pPr>
              <w:spacing w:after="0"/>
            </w:pPr>
            <w:r>
              <w:rPr>
                <w:sz w:val="19"/>
              </w:rPr>
              <w:t>CRM; the VIP team handles the high tier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Audience, eligibility and exclusions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Value tier at entry</w:t>
      </w:r>
      <w:r>
        <w:rPr/>
        <w:t xml:space="preserve"> (</w:t>
      </w:r>
      <w:r>
        <w:rPr>
          <w:rFonts w:ascii="Consolas" w:hAnsi="Consolas"/>
          <w:color w:val="552B00"/>
          <w:sz w:val="19"/>
        </w:rPr>
        <w:t>value_tier</w:t>
      </w:r>
      <w:r>
        <w:rPr/>
        <w:t>, based on deposits over the previous 90 days): low, medium, high. Thresholds are set from the base distribution, e.g. bottom 50%, next 40%, top 10%.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Excluded:</w:t>
      </w:r>
      <w:r>
        <w:rPr/>
        <w:t xml:space="preserve"> RG High (also an exit condition); players already in the VIP win-back journey, players under Risk/AML review.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No bonus steps:</w:t>
      </w:r>
      <w:r>
        <w:rPr/>
        <w:t xml:space="preserve"> abuse flag, RG Medium (they only get content).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Preconditions on every message</w:t>
      </w:r>
      <w:r>
        <w:rPr/>
        <w:t xml:space="preserve">, including SMS and push via webhook: </w:t>
      </w:r>
      <w:r>
        <w:rPr>
          <w:rFonts w:ascii="Consolas" w:hAnsi="Consolas"/>
          <w:color w:val="552B00"/>
          <w:sz w:val="19"/>
        </w:rPr>
        <w:t>self_excluded != true</w:t>
      </w:r>
      <w:r>
        <w:rPr/>
        <w:t xml:space="preserve">, </w:t>
      </w:r>
      <w:r>
        <w:rPr>
          <w:rFonts w:ascii="Consolas" w:hAnsi="Consolas"/>
          <w:color w:val="552B00"/>
          <w:sz w:val="19"/>
        </w:rPr>
        <w:t>rg_risk_tier != High</w:t>
      </w:r>
      <w:r>
        <w:rPr/>
        <w:t>, no active time-out.</w:t>
      </w:r>
    </w:p>
    <w:p>
      <w:pPr>
        <w:pStyle w:val="Heading2"/>
      </w:pPr>
      <w:r/>
      <w:r>
        <w:rPr/>
        <w:t>Journey</w:t>
      </w:r>
    </w:p>
    <w:p>
      <w:r>
        <w:rPr/>
      </w:r>
      <w:r>
        <w:rPr>
          <w:b/>
        </w:rPr>
        <w:t>Entry and split</w:t>
      </w:r>
      <w:r>
        <w:rP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1"/>
        <w:gridCol w:w="1908"/>
        <w:gridCol w:w="6132"/>
      </w:tblGrid>
      <w:tr>
        <w:tc>
          <w:tcPr>
            <w:tcW w:type="dxa" w:w="137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90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Block</w:t>
            </w:r>
          </w:p>
        </w:tc>
        <w:tc>
          <w:tcPr>
            <w:tcW w:type="dxa" w:w="613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What happens</w:t>
            </w:r>
          </w:p>
        </w:tc>
      </w:tr>
      <w:tr>
        <w:tc>
          <w:tcPr>
            <w:tcW w:type="dxa" w:w="1371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908"/>
          </w:tcPr>
          <w:p>
            <w:pPr>
              <w:spacing w:after="0"/>
            </w:pPr>
            <w:r>
              <w:rPr>
                <w:sz w:val="19"/>
              </w:rPr>
              <w:t>Segment entry</w:t>
            </w:r>
          </w:p>
        </w:tc>
        <w:tc>
          <w:tcPr>
            <w:tcW w:type="dxa" w:w="6132"/>
          </w:tcPr>
          <w:p>
            <w:pPr>
              <w:spacing w:after="0"/>
            </w:pPr>
            <w:r>
              <w:rPr>
                <w:sz w:val="19"/>
              </w:rPr>
              <w:t xml:space="preserve">the player moved into </w:t>
            </w:r>
            <w:r>
              <w:rPr>
                <w:i/>
                <w:sz w:val="19"/>
              </w:rPr>
              <w:t>Cooling</w:t>
            </w:r>
            <w:r>
              <w:rPr>
                <w:sz w:val="19"/>
              </w:rPr>
              <w:t xml:space="preserve"> (14-90 days without a deposit)</w:t>
            </w:r>
          </w:p>
        </w:tc>
      </w:tr>
      <w:tr>
        <w:tc>
          <w:tcPr>
            <w:tcW w:type="dxa" w:w="1371"/>
          </w:tcPr>
          <w:p>
            <w:pPr>
              <w:spacing w:after="0"/>
            </w:pPr>
            <w:r>
              <w:rPr>
                <w:sz w:val="19"/>
              </w:rPr>
              <w:t>0a</w:t>
            </w:r>
          </w:p>
        </w:tc>
        <w:tc>
          <w:tcPr>
            <w:tcW w:type="dxa" w:w="1908"/>
          </w:tcPr>
          <w:p>
            <w:pPr>
              <w:spacing w:after="0"/>
            </w:pPr>
            <w:r>
              <w:rPr>
                <w:sz w:val="19"/>
              </w:rPr>
              <w:t>Random split</w:t>
            </w:r>
          </w:p>
        </w:tc>
        <w:tc>
          <w:tcPr>
            <w:tcW w:type="dxa" w:w="6132"/>
          </w:tcPr>
          <w:p>
            <w:pPr>
              <w:spacing w:after="0"/>
            </w:pPr>
            <w:r>
              <w:rPr>
                <w:sz w:val="19"/>
              </w:rPr>
              <w:t xml:space="preserve">85% - journey, 15% - control (75/25 for high value); group written to </w:t>
            </w:r>
            <w:r>
              <w:rPr>
                <w:rFonts w:ascii="Consolas" w:hAnsi="Consolas"/>
                <w:color w:val="552B00"/>
                <w:sz w:val="19"/>
              </w:rPr>
              <w:t>winback_group</w:t>
            </w:r>
          </w:p>
        </w:tc>
      </w:tr>
      <w:tr>
        <w:tc>
          <w:tcPr>
            <w:tcW w:type="dxa" w:w="1371"/>
          </w:tcPr>
          <w:p>
            <w:pPr>
              <w:spacing w:after="0"/>
            </w:pPr>
            <w:r>
              <w:rPr>
                <w:sz w:val="19"/>
              </w:rPr>
              <w:t>0b</w:t>
            </w:r>
          </w:p>
        </w:tc>
        <w:tc>
          <w:tcPr>
            <w:tcW w:type="dxa" w:w="1908"/>
          </w:tcPr>
          <w:p>
            <w:pPr>
              <w:spacing w:after="0"/>
            </w:pPr>
            <w:r>
              <w:rPr>
                <w:sz w:val="19"/>
              </w:rPr>
              <w:t>Control</w:t>
            </w:r>
          </w:p>
        </w:tc>
        <w:tc>
          <w:tcPr>
            <w:tcW w:type="dxa" w:w="6132"/>
          </w:tcPr>
          <w:p>
            <w:pPr>
              <w:spacing w:after="0"/>
            </w:pPr>
            <w:r>
              <w:rPr>
                <w:sz w:val="19"/>
              </w:rPr>
              <w:t>gets nothing for 45 days, deposits counted the same way</w:t>
            </w:r>
          </w:p>
        </w:tc>
      </w:tr>
      <w:tr>
        <w:tc>
          <w:tcPr>
            <w:tcW w:type="dxa" w:w="1371"/>
          </w:tcPr>
          <w:p>
            <w:pPr>
              <w:spacing w:after="0"/>
            </w:pPr>
            <w:r>
              <w:rPr>
                <w:sz w:val="19"/>
              </w:rPr>
              <w:t>0c</w:t>
            </w:r>
          </w:p>
        </w:tc>
        <w:tc>
          <w:tcPr>
            <w:tcW w:type="dxa" w:w="1908"/>
          </w:tcPr>
          <w:p>
            <w:pPr>
              <w:spacing w:after="0"/>
            </w:pPr>
            <w:r>
              <w:rPr>
                <w:sz w:val="19"/>
              </w:rPr>
              <w:t xml:space="preserve">Branch by </w:t>
            </w:r>
            <w:r>
              <w:rPr>
                <w:rFonts w:ascii="Consolas" w:hAnsi="Consolas"/>
                <w:color w:val="552B00"/>
                <w:sz w:val="19"/>
              </w:rPr>
              <w:t>value_tier</w:t>
            </w:r>
          </w:p>
        </w:tc>
        <w:tc>
          <w:tcPr>
            <w:tcW w:type="dxa" w:w="6132"/>
          </w:tcPr>
          <w:p>
            <w:pPr>
              <w:spacing w:after="0"/>
            </w:pPr>
            <w:r>
              <w:rPr>
                <w:sz w:val="19"/>
              </w:rPr>
              <w:t>low / medium / high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Steps by tier</w:t>
      </w:r>
      <w:r>
        <w:rP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"/>
        <w:gridCol w:w="1827"/>
        <w:gridCol w:w="3710"/>
        <w:gridCol w:w="2860"/>
      </w:tblGrid>
      <w:tr>
        <w:tc>
          <w:tcPr>
            <w:tcW w:type="dxa" w:w="101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182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Low value</w:t>
            </w:r>
          </w:p>
        </w:tc>
        <w:tc>
          <w:tcPr>
            <w:tcW w:type="dxa" w:w="371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Medium value</w:t>
            </w:r>
          </w:p>
        </w:tc>
        <w:tc>
          <w:tcPr>
            <w:tcW w:type="dxa" w:w="286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High value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>Email: personal game content (new releases in their favourite category)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>Email: "how are you doing?" + personal content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Task for the VIP manager; personal email from the manager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>Email: game recommendation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>Email: game recommendation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Call or message from the manager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>Push: no-deposit free spins with a win cap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Free spins agreed by the manager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>Email: personal reload, 48 h expiry, terms next to it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Personal offer from the manager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>SMS: last nudge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Manager follows up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>Email: new releases digest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>Email: game challenge (gamification)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Manager leads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>Email: "we miss you" + a stronger offer if the previous ones didn't work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Manager leads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35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>SMS or push: last contact, different format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sz w:val="19"/>
              </w:rPr>
              <w:t>45</w:t>
            </w:r>
          </w:p>
        </w:tc>
        <w:tc>
          <w:tcPr>
            <w:tcW w:type="dxa" w:w="1827"/>
          </w:tcPr>
          <w:p>
            <w:pPr>
              <w:spacing w:after="0"/>
            </w:pPr>
            <w:r>
              <w:rPr>
                <w:sz w:val="19"/>
              </w:rPr>
              <w:t xml:space="preserve">Exit -&gt; </w:t>
            </w:r>
            <w:r>
              <w:rPr>
                <w:i/>
                <w:sz w:val="19"/>
              </w:rPr>
              <w:t>Low frequency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sz w:val="19"/>
              </w:rPr>
              <w:t xml:space="preserve">Exit -&gt; </w:t>
            </w:r>
            <w:r>
              <w:rPr>
                <w:i/>
                <w:sz w:val="19"/>
              </w:rPr>
              <w:t>Low frequency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 xml:space="preserve">Manager review: keep personal contact or move to </w:t>
            </w:r>
            <w:r>
              <w:rPr>
                <w:i/>
                <w:sz w:val="19"/>
              </w:rPr>
              <w:t>Low frequency</w:t>
            </w:r>
          </w:p>
        </w:tc>
      </w:tr>
    </w:tbl>
    <w:p>
      <w:pPr>
        <w:spacing w:after="40"/>
      </w:pPr>
    </w:p>
    <w:p>
      <w:r>
        <w:rPr/>
        <w:t>Each step is sent only if the player still hasn't deposited and passes the preconditions. If RG risk goes up to High mid-journey, the next step isn't sent and the player exits.</w:t>
      </w:r>
    </w:p>
    <w:p>
      <w:pPr>
        <w:pStyle w:val="Heading2"/>
      </w:pPr>
      <w:r/>
      <w:r>
        <w:rPr/>
        <w:t>Offers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Free spins instead of cashback.</w:t>
      </w:r>
      <w:r>
        <w:rPr/>
        <w:t xml:space="preserve"> Free spins give a small, limited reason to try a game again. Cashback returns part of the losses, and that can push people to chase them.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Step by step.</w:t>
      </w:r>
      <w:r>
        <w:rPr/>
        <w:t xml:space="preserve"> The incentive grows only if the cheap step didn't work.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Offer size</w:t>
      </w:r>
      <w:r>
        <w:rPr/>
        <w:t xml:space="preserve"> is chosen by a test. By default the cheapest option that works; a bigger one for more valuable players.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Low value</w:t>
      </w:r>
      <w:r>
        <w:rPr/>
        <w:t xml:space="preserve"> gets content only: a bonus there costs more than the returning player brings in.</w:t>
      </w:r>
    </w:p>
    <w:p>
      <w:pPr>
        <w:pStyle w:val="Heading2"/>
      </w:pPr>
      <w:r/>
      <w:r>
        <w:rPr/>
        <w:t>Measurement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7"/>
        <w:gridCol w:w="4024"/>
      </w:tblGrid>
      <w:tr>
        <w:tc>
          <w:tcPr>
            <w:tcW w:type="dxa" w:w="538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402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What it shows</w:t>
            </w:r>
          </w:p>
        </w:tc>
      </w:tr>
      <w:tr>
        <w:tc>
          <w:tcPr>
            <w:tcW w:type="dxa" w:w="538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Primary:</w:t>
            </w:r>
            <w:r>
              <w:rPr>
                <w:sz w:val="19"/>
              </w:rPr>
              <w:t xml:space="preserve"> deposit within 30 days, test vs control, in percentage points</w:t>
            </w:r>
          </w:p>
        </w:tc>
        <w:tc>
          <w:tcPr>
            <w:tcW w:type="dxa" w:w="4024"/>
          </w:tcPr>
          <w:p>
            <w:pPr>
              <w:spacing w:after="0"/>
            </w:pPr>
            <w:r>
              <w:rPr>
                <w:sz w:val="19"/>
              </w:rPr>
              <w:t>the real effect of the journey</w:t>
            </w:r>
          </w:p>
        </w:tc>
      </w:tr>
      <w:tr>
        <w:tc>
          <w:tcPr>
            <w:tcW w:type="dxa" w:w="5387"/>
          </w:tcPr>
          <w:p>
            <w:pPr>
              <w:spacing w:after="0"/>
            </w:pPr>
            <w:r>
              <w:rPr>
                <w:sz w:val="19"/>
              </w:rPr>
              <w:t>The same on day 7 and day 14</w:t>
            </w:r>
          </w:p>
        </w:tc>
        <w:tc>
          <w:tcPr>
            <w:tcW w:type="dxa" w:w="4024"/>
          </w:tcPr>
          <w:p>
            <w:pPr>
              <w:spacing w:after="0"/>
            </w:pPr>
            <w:r>
              <w:rPr>
                <w:sz w:val="19"/>
              </w:rPr>
              <w:t>how fast the effect builds up</w:t>
            </w:r>
          </w:p>
        </w:tc>
      </w:tr>
      <w:tr>
        <w:tc>
          <w:tcPr>
            <w:tcW w:type="dxa" w:w="5387"/>
          </w:tcPr>
          <w:p>
            <w:pPr>
              <w:spacing w:after="0"/>
            </w:pPr>
            <w:r>
              <w:rPr>
                <w:sz w:val="19"/>
              </w:rPr>
              <w:t>Incremental NGR per test group player minus channel cost</w:t>
            </w:r>
          </w:p>
        </w:tc>
        <w:tc>
          <w:tcPr>
            <w:tcW w:type="dxa" w:w="4024"/>
          </w:tcPr>
          <w:p>
            <w:pPr>
              <w:spacing w:after="0"/>
            </w:pPr>
            <w:r>
              <w:rPr>
                <w:sz w:val="19"/>
              </w:rPr>
              <w:t>whether the journey pays off</w:t>
            </w:r>
          </w:p>
        </w:tc>
      </w:tr>
      <w:tr>
        <w:tc>
          <w:tcPr>
            <w:tcW w:type="dxa" w:w="5387"/>
          </w:tcPr>
          <w:p>
            <w:pPr>
              <w:spacing w:after="0"/>
            </w:pPr>
            <w:r>
              <w:rPr>
                <w:sz w:val="19"/>
              </w:rPr>
              <w:t>Deposits over 60 days after returning</w:t>
            </w:r>
          </w:p>
        </w:tc>
        <w:tc>
          <w:tcPr>
            <w:tcW w:type="dxa" w:w="4024"/>
          </w:tcPr>
          <w:p>
            <w:pPr>
              <w:spacing w:after="0"/>
            </w:pPr>
            <w:r>
              <w:rPr>
                <w:sz w:val="19"/>
              </w:rPr>
              <w:t>whether the player stayed or came for one offer</w:t>
            </w:r>
          </w:p>
        </w:tc>
      </w:tr>
      <w:tr>
        <w:tc>
          <w:tcPr>
            <w:tcW w:type="dxa" w:w="5387"/>
          </w:tcPr>
          <w:p>
            <w:pPr>
              <w:spacing w:after="0"/>
            </w:pPr>
            <w:r>
              <w:rPr>
                <w:sz w:val="19"/>
              </w:rPr>
              <w:t>Bonus cost per incremental return</w:t>
            </w:r>
          </w:p>
        </w:tc>
        <w:tc>
          <w:tcPr>
            <w:tcW w:type="dxa" w:w="4024"/>
          </w:tcPr>
          <w:p>
            <w:pPr>
              <w:spacing w:after="0"/>
            </w:pPr>
            <w:r>
              <w:rPr>
                <w:sz w:val="19"/>
              </w:rPr>
              <w:t>the price of the result</w:t>
            </w:r>
          </w:p>
        </w:tc>
      </w:tr>
      <w:tr>
        <w:tc>
          <w:tcPr>
            <w:tcW w:type="dxa" w:w="538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Guardrails:</w:t>
            </w:r>
            <w:r>
              <w:rPr>
                <w:sz w:val="19"/>
              </w:rPr>
              <w:t xml:space="preserve"> unsubscribes, spam complaints, RG risk changes</w:t>
            </w:r>
          </w:p>
        </w:tc>
        <w:tc>
          <w:tcPr>
            <w:tcW w:type="dxa" w:w="4024"/>
          </w:tcPr>
          <w:p>
            <w:pPr>
              <w:spacing w:after="0"/>
            </w:pPr>
            <w:r>
              <w:rPr>
                <w:sz w:val="19"/>
              </w:rPr>
              <w:t>the cost for the base and for the player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Appendix: workflow in Customer.io</w:t>
      </w:r>
    </w:p>
    <w:p>
      <w:r>
        <w:drawing>
          <wp:inline xmlns:a="http://schemas.openxmlformats.org/drawingml/2006/main" xmlns:pic="http://schemas.openxmlformats.org/drawingml/2006/picture">
            <wp:extent cx="5976000" cy="7445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ered-reacti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4457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