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Failed deposit recovery</w:t>
      </w:r>
    </w:p>
    <w:p>
      <w:pPr>
        <w:spacing w:before="80" w:after="160"/>
        <w:ind w:left="227"/>
        <w:pBdr>
          <w:left w:val="single" w:sz="18" w:space="8" w:color="1F3A5F"/>
        </w:pBdr>
        <w:shd w:val="clear" w:color="auto" w:fill="F1F4F8"/>
      </w:pPr>
      <w:r>
        <w:rPr/>
      </w:r>
      <w:r>
        <w:rPr>
          <w:b/>
        </w:rPr>
        <w:t>In short:</w:t>
      </w:r>
      <w:r>
        <w:rPr/>
        <w:t xml:space="preserve"> the player has already decided to pay, but the payment didn't go through. They don't need persuading, they need help: explain the reason, offer another payment method, bring in support. No bonuses, and for some decline reasons no messages at all. The goal is a successful deposit within 24 hours.</w:t>
      </w:r>
    </w:p>
    <w:p>
      <w:pPr>
        <w:pStyle w:val="Heading2"/>
      </w:pPr>
      <w:r/>
      <w:r>
        <w:rPr/>
        <w:t>Task</w:t>
      </w:r>
    </w:p>
    <w:p>
      <w:r>
        <w:rPr/>
        <w:t>A failed deposit is the most expensive moment in the funnel: the intent is there, but the money didn't arrive. Many people whose first attempt fails never try again. It hits the first deposit hardest, when the player isn't attached to the product yet.</w:t>
      </w:r>
    </w:p>
    <w:p>
      <w:r>
        <w:rPr/>
      </w:r>
      <w:r>
        <w:rPr>
          <w:b/>
        </w:rPr>
        <w:t>Hypothesis:</w:t>
      </w:r>
      <w:r>
        <w:rPr/>
        <w:t xml:space="preserve"> a clear explanation of the reason and an alternative payment method in the first hours after a decline lift the share of successful deposits without any incentive.</w:t>
      </w:r>
    </w:p>
    <w:p>
      <w:pPr>
        <w:pStyle w:val="Heading2"/>
      </w:pPr>
      <w:r/>
      <w:r>
        <w:rPr/>
        <w:t>Campaign card</w:t>
      </w:r>
    </w:p>
    <w:tbl>
      <w:tblPr>
        <w:tblStyle w:val="TableGrid"/>
        <w:tblW w:type="auto" w:w="0"/>
        <w:jc w:val="center"/>
        <w:tblLayout w:type="fixed"/>
        <w:tblLook w:firstColumn="1" w:firstRow="1" w:lastColumn="0" w:lastRow="0" w:noHBand="0" w:noVBand="1" w:val="04A0"/>
      </w:tblPr>
      <w:tblGrid>
        <w:gridCol w:w="1457"/>
        <w:gridCol w:w="7954"/>
      </w:tblGrid>
      <w:tr>
        <w:tc>
          <w:tcPr>
            <w:tcW w:type="dxa" w:w="1457"/>
            <w:shd w:val="clear" w:color="auto" w:fill="DCE4EE"/>
          </w:tcPr>
          <w:p>
            <w:pPr>
              <w:spacing w:after="0"/>
            </w:pPr>
            <w:r>
              <w:rPr>
                <w:b/>
                <w:sz w:val="19"/>
              </w:rPr>
              <w:t>Parameter</w:t>
            </w:r>
          </w:p>
        </w:tc>
        <w:tc>
          <w:tcPr>
            <w:tcW w:type="dxa" w:w="7954"/>
            <w:shd w:val="clear" w:color="auto" w:fill="DCE4EE"/>
          </w:tcPr>
          <w:p>
            <w:pPr>
              <w:spacing w:after="0"/>
            </w:pPr>
            <w:r>
              <w:rPr>
                <w:b/>
                <w:sz w:val="19"/>
              </w:rPr>
              <w:t>Value</w:t>
            </w:r>
          </w:p>
        </w:tc>
      </w:tr>
      <w:tr>
        <w:tc>
          <w:tcPr>
            <w:tcW w:type="dxa" w:w="1457"/>
          </w:tcPr>
          <w:p>
            <w:pPr>
              <w:spacing w:after="0"/>
            </w:pPr>
            <w:r>
              <w:rPr>
                <w:sz w:val="19"/>
              </w:rPr>
              <w:t>Type</w:t>
            </w:r>
          </w:p>
        </w:tc>
        <w:tc>
          <w:tcPr>
            <w:tcW w:type="dxa" w:w="7954"/>
          </w:tcPr>
          <w:p>
            <w:pPr>
              <w:spacing w:after="0"/>
            </w:pPr>
            <w:r>
              <w:rPr>
                <w:sz w:val="19"/>
              </w:rPr>
              <w:t>triggered, event-based</w:t>
            </w:r>
          </w:p>
        </w:tc>
      </w:tr>
      <w:tr>
        <w:tc>
          <w:tcPr>
            <w:tcW w:type="dxa" w:w="1457"/>
          </w:tcPr>
          <w:p>
            <w:pPr>
              <w:spacing w:after="0"/>
            </w:pPr>
            <w:r>
              <w:rPr>
                <w:sz w:val="19"/>
              </w:rPr>
              <w:t>Trigger</w:t>
            </w:r>
          </w:p>
        </w:tc>
        <w:tc>
          <w:tcPr>
            <w:tcW w:type="dxa" w:w="7954"/>
          </w:tcPr>
          <w:p>
            <w:pPr>
              <w:spacing w:after="0"/>
            </w:pPr>
            <w:r>
              <w:rPr>
                <w:rFonts w:ascii="Consolas" w:hAnsi="Consolas"/>
                <w:color w:val="552B00"/>
                <w:sz w:val="19"/>
              </w:rPr>
              <w:t>deposit_failed</w:t>
            </w:r>
            <w:r>
              <w:rPr>
                <w:sz w:val="19"/>
              </w:rPr>
              <w:t xml:space="preserve"> and no successful deposit within 30 minutes</w:t>
            </w:r>
          </w:p>
        </w:tc>
      </w:tr>
      <w:tr>
        <w:tc>
          <w:tcPr>
            <w:tcW w:type="dxa" w:w="1457"/>
          </w:tcPr>
          <w:p>
            <w:pPr>
              <w:spacing w:after="0"/>
            </w:pPr>
            <w:r>
              <w:rPr>
                <w:sz w:val="19"/>
              </w:rPr>
              <w:t>Re-entry</w:t>
            </w:r>
          </w:p>
        </w:tc>
        <w:tc>
          <w:tcPr>
            <w:tcW w:type="dxa" w:w="7954"/>
          </w:tcPr>
          <w:p>
            <w:pPr>
              <w:spacing w:after="0"/>
            </w:pPr>
            <w:r>
              <w:rPr>
                <w:sz w:val="19"/>
              </w:rPr>
              <w:t>yes, but no more than once every 24 h; after 3 failures within 24 h - no messages, RG/Risk review</w:t>
            </w:r>
          </w:p>
        </w:tc>
      </w:tr>
      <w:tr>
        <w:tc>
          <w:tcPr>
            <w:tcW w:type="dxa" w:w="1457"/>
          </w:tcPr>
          <w:p>
            <w:pPr>
              <w:spacing w:after="0"/>
            </w:pPr>
            <w:r>
              <w:rPr>
                <w:sz w:val="19"/>
              </w:rPr>
              <w:t>Goal (conversion)</w:t>
            </w:r>
          </w:p>
        </w:tc>
        <w:tc>
          <w:tcPr>
            <w:tcW w:type="dxa" w:w="7954"/>
          </w:tcPr>
          <w:p>
            <w:pPr>
              <w:spacing w:after="0"/>
            </w:pPr>
            <w:r>
              <w:rPr>
                <w:rFonts w:ascii="Consolas" w:hAnsi="Consolas"/>
                <w:color w:val="552B00"/>
                <w:sz w:val="19"/>
              </w:rPr>
              <w:t>deposit_made</w:t>
            </w:r>
            <w:r>
              <w:rPr>
                <w:sz w:val="19"/>
              </w:rPr>
              <w:t xml:space="preserve"> within 24 h</w:t>
            </w:r>
          </w:p>
        </w:tc>
      </w:tr>
      <w:tr>
        <w:tc>
          <w:tcPr>
            <w:tcW w:type="dxa" w:w="1457"/>
          </w:tcPr>
          <w:p>
            <w:pPr>
              <w:spacing w:after="0"/>
            </w:pPr>
            <w:r>
              <w:rPr>
                <w:sz w:val="19"/>
              </w:rPr>
              <w:t>Exit</w:t>
            </w:r>
          </w:p>
        </w:tc>
        <w:tc>
          <w:tcPr>
            <w:tcW w:type="dxa" w:w="7954"/>
          </w:tcPr>
          <w:p>
            <w:pPr>
              <w:spacing w:after="0"/>
            </w:pPr>
            <w:r>
              <w:rPr>
                <w:sz w:val="19"/>
              </w:rPr>
              <w:t>successful deposit, self-exclusion or time-out, 72 hours</w:t>
            </w:r>
          </w:p>
        </w:tc>
      </w:tr>
      <w:tr>
        <w:tc>
          <w:tcPr>
            <w:tcW w:type="dxa" w:w="1457"/>
          </w:tcPr>
          <w:p>
            <w:pPr>
              <w:spacing w:after="0"/>
            </w:pPr>
            <w:r>
              <w:rPr>
                <w:sz w:val="19"/>
              </w:rPr>
              <w:t>Priority</w:t>
            </w:r>
          </w:p>
        </w:tc>
        <w:tc>
          <w:tcPr>
            <w:tcW w:type="dxa" w:w="7954"/>
          </w:tcPr>
          <w:p>
            <w:pPr>
              <w:spacing w:after="0"/>
            </w:pPr>
            <w:r>
              <w:rPr>
                <w:sz w:val="19"/>
              </w:rPr>
              <w:t>right after service and compliance messages, above all promos. While the player is here, promo steps of other campaigns pause for 24 h</w:t>
            </w:r>
          </w:p>
        </w:tc>
      </w:tr>
      <w:tr>
        <w:tc>
          <w:tcPr>
            <w:tcW w:type="dxa" w:w="1457"/>
          </w:tcPr>
          <w:p>
            <w:pPr>
              <w:spacing w:after="0"/>
            </w:pPr>
            <w:r>
              <w:rPr>
                <w:sz w:val="19"/>
              </w:rPr>
              <w:t>Channels</w:t>
            </w:r>
          </w:p>
        </w:tc>
        <w:tc>
          <w:tcPr>
            <w:tcW w:type="dxa" w:w="7954"/>
          </w:tcPr>
          <w:p>
            <w:pPr>
              <w:spacing w:after="0"/>
            </w:pPr>
            <w:r>
              <w:rPr>
                <w:sz w:val="19"/>
              </w:rPr>
              <w:t>in-app or push, email, invitation to support chat</w:t>
            </w:r>
          </w:p>
        </w:tc>
      </w:tr>
      <w:tr>
        <w:tc>
          <w:tcPr>
            <w:tcW w:type="dxa" w:w="1457"/>
          </w:tcPr>
          <w:p>
            <w:pPr>
              <w:spacing w:after="0"/>
            </w:pPr>
            <w:r>
              <w:rPr>
                <w:sz w:val="19"/>
              </w:rPr>
              <w:t>Holdout</w:t>
            </w:r>
          </w:p>
        </w:tc>
        <w:tc>
          <w:tcPr>
            <w:tcW w:type="dxa" w:w="7954"/>
          </w:tcPr>
          <w:p>
            <w:pPr>
              <w:spacing w:after="0"/>
            </w:pPr>
            <w:r>
              <w:rPr>
                <w:sz w:val="19"/>
              </w:rPr>
              <w:t>10% on CRM messages only; the cashier's own retry stays for everyone</w:t>
            </w:r>
          </w:p>
        </w:tc>
      </w:tr>
      <w:tr>
        <w:tc>
          <w:tcPr>
            <w:tcW w:type="dxa" w:w="1457"/>
          </w:tcPr>
          <w:p>
            <w:pPr>
              <w:spacing w:after="0"/>
            </w:pPr>
            <w:r>
              <w:rPr>
                <w:sz w:val="19"/>
              </w:rPr>
              <w:t>Owners</w:t>
            </w:r>
          </w:p>
        </w:tc>
        <w:tc>
          <w:tcPr>
            <w:tcW w:type="dxa" w:w="7954"/>
          </w:tcPr>
          <w:p>
            <w:pPr>
              <w:spacing w:after="0"/>
            </w:pPr>
            <w:r>
              <w:rPr>
                <w:sz w:val="19"/>
              </w:rPr>
              <w:t>CRM (messages), payments (decline rate, payment methods), support (chat)</w:t>
            </w:r>
          </w:p>
        </w:tc>
      </w:tr>
    </w:tbl>
    <w:p>
      <w:pPr>
        <w:spacing w:after="40"/>
      </w:pPr>
    </w:p>
    <w:p>
      <w:pPr>
        <w:pStyle w:val="Heading2"/>
      </w:pPr>
      <w:r/>
      <w:r>
        <w:rPr/>
        <w:t>What we do by decline reason</w:t>
      </w:r>
    </w:p>
    <w:tbl>
      <w:tblPr>
        <w:tblStyle w:val="TableGrid"/>
        <w:tblW w:type="auto" w:w="0"/>
        <w:jc w:val="center"/>
        <w:tblLayout w:type="fixed"/>
        <w:tblLook w:firstColumn="1" w:firstRow="1" w:lastColumn="0" w:lastRow="0" w:noHBand="0" w:noVBand="1" w:val="04A0"/>
      </w:tblPr>
      <w:tblGrid>
        <w:gridCol w:w="4598"/>
        <w:gridCol w:w="4813"/>
      </w:tblGrid>
      <w:tr>
        <w:tc>
          <w:tcPr>
            <w:tcW w:type="dxa" w:w="4598"/>
            <w:shd w:val="clear" w:color="auto" w:fill="DCE4EE"/>
          </w:tcPr>
          <w:p>
            <w:pPr>
              <w:spacing w:after="0"/>
            </w:pPr>
            <w:r>
              <w:rPr>
                <w:b/>
                <w:sz w:val="19"/>
              </w:rPr>
              <w:t>Reason</w:t>
            </w:r>
          </w:p>
        </w:tc>
        <w:tc>
          <w:tcPr>
            <w:tcW w:type="dxa" w:w="4813"/>
            <w:shd w:val="clear" w:color="auto" w:fill="DCE4EE"/>
          </w:tcPr>
          <w:p>
            <w:pPr>
              <w:spacing w:after="0"/>
            </w:pPr>
            <w:r>
              <w:rPr>
                <w:b/>
                <w:sz w:val="19"/>
              </w:rPr>
              <w:t>What we do</w:t>
            </w:r>
          </w:p>
        </w:tc>
      </w:tr>
      <w:tr>
        <w:tc>
          <w:tcPr>
            <w:tcW w:type="dxa" w:w="4598"/>
          </w:tcPr>
          <w:p>
            <w:pPr>
              <w:spacing w:after="0"/>
            </w:pPr>
            <w:r>
              <w:rPr>
                <w:sz w:val="19"/>
              </w:rPr>
              <w:t>Technical error, timeout, provider outage</w:t>
            </w:r>
          </w:p>
        </w:tc>
        <w:tc>
          <w:tcPr>
            <w:tcW w:type="dxa" w:w="4813"/>
          </w:tcPr>
          <w:p>
            <w:pPr>
              <w:spacing w:after="0"/>
            </w:pPr>
            <w:r>
              <w:rPr>
                <w:sz w:val="19"/>
              </w:rPr>
              <w:t>retry flow: "try again", link to the cashier</w:t>
            </w:r>
          </w:p>
        </w:tc>
      </w:tr>
      <w:tr>
        <w:tc>
          <w:tcPr>
            <w:tcW w:type="dxa" w:w="4598"/>
          </w:tcPr>
          <w:p>
            <w:pPr>
              <w:spacing w:after="0"/>
            </w:pPr>
            <w:r>
              <w:rPr>
                <w:sz w:val="19"/>
              </w:rPr>
              <w:t>3-D Secure failed or interrupted</w:t>
            </w:r>
          </w:p>
        </w:tc>
        <w:tc>
          <w:tcPr>
            <w:tcW w:type="dxa" w:w="4813"/>
          </w:tcPr>
          <w:p>
            <w:pPr>
              <w:spacing w:after="0"/>
            </w:pPr>
            <w:r>
              <w:rPr>
                <w:sz w:val="19"/>
              </w:rPr>
              <w:t>short guide to confirming the payment in the banking app, retry</w:t>
            </w:r>
          </w:p>
        </w:tc>
      </w:tr>
      <w:tr>
        <w:tc>
          <w:tcPr>
            <w:tcW w:type="dxa" w:w="4598"/>
          </w:tcPr>
          <w:p>
            <w:pPr>
              <w:spacing w:after="0"/>
            </w:pPr>
            <w:r>
              <w:rPr>
                <w:sz w:val="19"/>
              </w:rPr>
              <w:t>Bank declined without explanation</w:t>
            </w:r>
          </w:p>
        </w:tc>
        <w:tc>
          <w:tcPr>
            <w:tcW w:type="dxa" w:w="4813"/>
          </w:tcPr>
          <w:p>
            <w:pPr>
              <w:spacing w:after="0"/>
            </w:pPr>
            <w:r>
              <w:rPr>
                <w:sz w:val="19"/>
              </w:rPr>
              <w:t>other payment methods available in the player's country</w:t>
            </w:r>
          </w:p>
        </w:tc>
      </w:tr>
      <w:tr>
        <w:tc>
          <w:tcPr>
            <w:tcW w:type="dxa" w:w="4598"/>
          </w:tcPr>
          <w:p>
            <w:pPr>
              <w:spacing w:after="0"/>
            </w:pPr>
            <w:r>
              <w:rPr>
                <w:sz w:val="19"/>
              </w:rPr>
              <w:t>Method not supported, method limit exceeded</w:t>
            </w:r>
          </w:p>
        </w:tc>
        <w:tc>
          <w:tcPr>
            <w:tcW w:type="dxa" w:w="4813"/>
          </w:tcPr>
          <w:p>
            <w:pPr>
              <w:spacing w:after="0"/>
            </w:pPr>
            <w:r>
              <w:rPr>
                <w:sz w:val="19"/>
              </w:rPr>
              <w:t>alternatives and limits for each method</w:t>
            </w:r>
          </w:p>
        </w:tc>
      </w:tr>
      <w:tr>
        <w:tc>
          <w:tcPr>
            <w:tcW w:type="dxa" w:w="4598"/>
          </w:tcPr>
          <w:p>
            <w:pPr>
              <w:spacing w:after="0"/>
            </w:pPr>
            <w:r>
              <w:rPr>
                <w:sz w:val="19"/>
              </w:rPr>
            </w:r>
            <w:r>
              <w:rPr>
                <w:b/>
                <w:sz w:val="19"/>
              </w:rPr>
              <w:t>Insufficient funds</w:t>
            </w:r>
            <w:r>
              <w:rPr>
                <w:sz w:val="19"/>
              </w:rPr>
            </w:r>
          </w:p>
        </w:tc>
        <w:tc>
          <w:tcPr>
            <w:tcW w:type="dxa" w:w="4813"/>
          </w:tcPr>
          <w:p>
            <w:pPr>
              <w:spacing w:after="0"/>
            </w:pPr>
            <w:r>
              <w:rPr>
                <w:sz w:val="19"/>
              </w:rPr>
            </w:r>
            <w:r>
              <w:rPr>
                <w:b/>
                <w:sz w:val="19"/>
              </w:rPr>
              <w:t>no messages</w:t>
            </w:r>
            <w:r>
              <w:rPr>
                <w:sz w:val="19"/>
              </w:rPr>
            </w:r>
          </w:p>
        </w:tc>
      </w:tr>
      <w:tr>
        <w:tc>
          <w:tcPr>
            <w:tcW w:type="dxa" w:w="4598"/>
          </w:tcPr>
          <w:p>
            <w:pPr>
              <w:spacing w:after="0"/>
            </w:pPr>
            <w:r>
              <w:rPr>
                <w:sz w:val="19"/>
              </w:rPr>
            </w:r>
            <w:r>
              <w:rPr>
                <w:b/>
                <w:sz w:val="19"/>
              </w:rPr>
              <w:t>Bank blocks gambling payments</w:t>
            </w:r>
            <w:r>
              <w:rPr>
                <w:sz w:val="19"/>
              </w:rPr>
            </w:r>
          </w:p>
        </w:tc>
        <w:tc>
          <w:tcPr>
            <w:tcW w:type="dxa" w:w="4813"/>
          </w:tcPr>
          <w:p>
            <w:pPr>
              <w:spacing w:after="0"/>
            </w:pPr>
            <w:r>
              <w:rPr>
                <w:sz w:val="19"/>
              </w:rPr>
            </w:r>
            <w:r>
              <w:rPr>
                <w:b/>
                <w:sz w:val="19"/>
              </w:rPr>
              <w:t>no messages</w:t>
            </w:r>
            <w:r>
              <w:rPr>
                <w:sz w:val="19"/>
              </w:rPr>
              <w:t xml:space="preserve"> and no alternatives</w:t>
            </w:r>
          </w:p>
        </w:tc>
      </w:tr>
      <w:tr>
        <w:tc>
          <w:tcPr>
            <w:tcW w:type="dxa" w:w="4598"/>
          </w:tcPr>
          <w:p>
            <w:pPr>
              <w:spacing w:after="0"/>
            </w:pPr>
            <w:r>
              <w:rPr>
                <w:sz w:val="19"/>
              </w:rPr>
            </w:r>
            <w:r>
              <w:rPr>
                <w:b/>
                <w:sz w:val="19"/>
              </w:rPr>
              <w:t>The player's own deposit limit kicked in</w:t>
            </w:r>
            <w:r>
              <w:rPr>
                <w:sz w:val="19"/>
              </w:rPr>
            </w:r>
          </w:p>
        </w:tc>
        <w:tc>
          <w:tcPr>
            <w:tcW w:type="dxa" w:w="4813"/>
          </w:tcPr>
          <w:p>
            <w:pPr>
              <w:spacing w:after="0"/>
            </w:pPr>
            <w:r>
              <w:rPr>
                <w:sz w:val="19"/>
              </w:rPr>
            </w:r>
            <w:r>
              <w:rPr>
                <w:b/>
                <w:sz w:val="19"/>
              </w:rPr>
              <w:t>no messages</w:t>
            </w:r>
            <w:r>
              <w:rPr>
                <w:sz w:val="19"/>
              </w:rPr>
            </w:r>
          </w:p>
        </w:tc>
      </w:tr>
      <w:tr>
        <w:tc>
          <w:tcPr>
            <w:tcW w:type="dxa" w:w="4598"/>
          </w:tcPr>
          <w:p>
            <w:pPr>
              <w:spacing w:after="0"/>
            </w:pPr>
            <w:r>
              <w:rPr>
                <w:sz w:val="19"/>
              </w:rPr>
            </w:r>
            <w:r>
              <w:rPr>
                <w:b/>
                <w:sz w:val="19"/>
              </w:rPr>
              <w:t>Suspected fraud, AML restriction</w:t>
            </w:r>
            <w:r>
              <w:rPr>
                <w:sz w:val="19"/>
              </w:rPr>
            </w:r>
          </w:p>
        </w:tc>
        <w:tc>
          <w:tcPr>
            <w:tcW w:type="dxa" w:w="4813"/>
          </w:tcPr>
          <w:p>
            <w:pPr>
              <w:spacing w:after="0"/>
            </w:pPr>
            <w:r>
              <w:rPr>
                <w:sz w:val="19"/>
              </w:rPr>
            </w:r>
            <w:r>
              <w:rPr>
                <w:b/>
                <w:sz w:val="19"/>
              </w:rPr>
              <w:t>no messages</w:t>
            </w:r>
            <w:r>
              <w:rPr>
                <w:sz w:val="19"/>
              </w:rPr>
              <w:t>, task for Risk</w:t>
            </w:r>
          </w:p>
        </w:tc>
      </w:tr>
    </w:tbl>
    <w:p>
      <w:pPr>
        <w:spacing w:after="40"/>
      </w:pPr>
    </w:p>
    <w:p>
      <w:r>
        <w:rPr/>
        <w:t>Repeated failures (3 or more within 24 hours) together with other markers (rising deposit frequency, night sessions) go for an RG review.</w:t>
      </w:r>
    </w:p>
    <w:p>
      <w:pPr>
        <w:pStyle w:val="Heading2"/>
      </w:pPr>
      <w:r/>
      <w:r>
        <w:rPr/>
        <w:t>Journey</w:t>
      </w:r>
    </w:p>
    <w:tbl>
      <w:tblPr>
        <w:tblStyle w:val="TableGrid"/>
        <w:tblW w:type="auto" w:w="0"/>
        <w:jc w:val="center"/>
        <w:tblLayout w:type="fixed"/>
        <w:tblLook w:firstColumn="1" w:firstRow="1" w:lastColumn="0" w:lastRow="0" w:noHBand="0" w:noVBand="1" w:val="04A0"/>
      </w:tblPr>
      <w:tblGrid>
        <w:gridCol w:w="840"/>
        <w:gridCol w:w="840"/>
        <w:gridCol w:w="1635"/>
        <w:gridCol w:w="4460"/>
        <w:gridCol w:w="1635"/>
      </w:tblGrid>
      <w:tr>
        <w:tc>
          <w:tcPr>
            <w:tcW w:type="dxa" w:w="840"/>
            <w:shd w:val="clear" w:color="auto" w:fill="DCE4EE"/>
          </w:tcPr>
          <w:p>
            <w:pPr>
              <w:spacing w:after="0"/>
            </w:pPr>
            <w:r>
              <w:rPr>
                <w:b/>
                <w:sz w:val="19"/>
              </w:rPr>
              <w:t>#</w:t>
            </w:r>
          </w:p>
        </w:tc>
        <w:tc>
          <w:tcPr>
            <w:tcW w:type="dxa" w:w="840"/>
            <w:shd w:val="clear" w:color="auto" w:fill="DCE4EE"/>
          </w:tcPr>
          <w:p>
            <w:pPr>
              <w:spacing w:after="0"/>
            </w:pPr>
            <w:r>
              <w:rPr>
                <w:b/>
                <w:sz w:val="19"/>
              </w:rPr>
              <w:t>When</w:t>
            </w:r>
          </w:p>
        </w:tc>
        <w:tc>
          <w:tcPr>
            <w:tcW w:type="dxa" w:w="1635"/>
            <w:shd w:val="clear" w:color="auto" w:fill="DCE4EE"/>
          </w:tcPr>
          <w:p>
            <w:pPr>
              <w:spacing w:after="0"/>
            </w:pPr>
            <w:r>
              <w:rPr>
                <w:b/>
                <w:sz w:val="19"/>
              </w:rPr>
              <w:t>Channel / block</w:t>
            </w:r>
          </w:p>
        </w:tc>
        <w:tc>
          <w:tcPr>
            <w:tcW w:type="dxa" w:w="4460"/>
            <w:shd w:val="clear" w:color="auto" w:fill="DCE4EE"/>
          </w:tcPr>
          <w:p>
            <w:pPr>
              <w:spacing w:after="0"/>
            </w:pPr>
            <w:r>
              <w:rPr>
                <w:b/>
                <w:sz w:val="19"/>
              </w:rPr>
              <w:t>Content</w:t>
            </w:r>
          </w:p>
        </w:tc>
        <w:tc>
          <w:tcPr>
            <w:tcW w:type="dxa" w:w="1635"/>
            <w:shd w:val="clear" w:color="auto" w:fill="DCE4EE"/>
          </w:tcPr>
          <w:p>
            <w:pPr>
              <w:spacing w:after="0"/>
            </w:pPr>
            <w:r>
              <w:rPr>
                <w:b/>
                <w:sz w:val="19"/>
              </w:rPr>
              <w:t>Send condition</w:t>
            </w:r>
          </w:p>
        </w:tc>
      </w:tr>
      <w:tr>
        <w:tc>
          <w:tcPr>
            <w:tcW w:type="dxa" w:w="840"/>
          </w:tcPr>
          <w:p>
            <w:pPr>
              <w:spacing w:after="0"/>
            </w:pPr>
            <w:r>
              <w:rPr>
                <w:sz w:val="19"/>
              </w:rPr>
              <w:t>0</w:t>
            </w:r>
          </w:p>
        </w:tc>
        <w:tc>
          <w:tcPr>
            <w:tcW w:type="dxa" w:w="840"/>
          </w:tcPr>
          <w:p>
            <w:pPr>
              <w:spacing w:after="0"/>
            </w:pPr>
            <w:r>
              <w:rPr>
                <w:sz w:val="19"/>
              </w:rPr>
              <w:t>event</w:t>
            </w:r>
          </w:p>
        </w:tc>
        <w:tc>
          <w:tcPr>
            <w:tcW w:type="dxa" w:w="1635"/>
          </w:tcPr>
          <w:p>
            <w:pPr>
              <w:spacing w:after="0"/>
            </w:pPr>
            <w:r>
              <w:rPr>
                <w:sz w:val="19"/>
              </w:rPr>
              <w:t>Filter</w:t>
            </w:r>
          </w:p>
        </w:tc>
        <w:tc>
          <w:tcPr>
            <w:tcW w:type="dxa" w:w="4460"/>
          </w:tcPr>
          <w:p>
            <w:pPr>
              <w:spacing w:after="0"/>
            </w:pPr>
            <w:r>
              <w:rPr>
                <w:rFonts w:ascii="Consolas" w:hAnsi="Consolas"/>
                <w:color w:val="552B00"/>
                <w:sz w:val="19"/>
              </w:rPr>
              <w:t>decline_reason</w:t>
            </w:r>
            <w:r>
              <w:rPr>
                <w:sz w:val="19"/>
              </w:rPr>
              <w:t xml:space="preserve"> on the "no messages" list -&gt; exit without contact</w:t>
            </w:r>
          </w:p>
        </w:tc>
        <w:tc>
          <w:tcPr>
            <w:tcW w:type="dxa" w:w="1635"/>
          </w:tcPr>
          <w:p>
            <w:pPr>
              <w:spacing w:after="0"/>
            </w:pPr>
          </w:p>
        </w:tc>
      </w:tr>
      <w:tr>
        <w:tc>
          <w:tcPr>
            <w:tcW w:type="dxa" w:w="840"/>
          </w:tcPr>
          <w:p>
            <w:pPr>
              <w:spacing w:after="0"/>
            </w:pPr>
            <w:r>
              <w:rPr>
                <w:sz w:val="19"/>
              </w:rPr>
              <w:t>1</w:t>
            </w:r>
          </w:p>
        </w:tc>
        <w:tc>
          <w:tcPr>
            <w:tcW w:type="dxa" w:w="840"/>
          </w:tcPr>
          <w:p>
            <w:pPr>
              <w:spacing w:after="0"/>
            </w:pPr>
            <w:r>
              <w:rPr>
                <w:sz w:val="19"/>
              </w:rPr>
              <w:t>+30 min</w:t>
            </w:r>
          </w:p>
        </w:tc>
        <w:tc>
          <w:tcPr>
            <w:tcW w:type="dxa" w:w="1635"/>
          </w:tcPr>
          <w:p>
            <w:pPr>
              <w:spacing w:after="0"/>
            </w:pPr>
            <w:r>
              <w:rPr>
                <w:sz w:val="19"/>
              </w:rPr>
              <w:t>In-app (if the player is on site) or push</w:t>
            </w:r>
          </w:p>
        </w:tc>
        <w:tc>
          <w:tcPr>
            <w:tcW w:type="dxa" w:w="4460"/>
          </w:tcPr>
          <w:p>
            <w:pPr>
              <w:spacing w:after="0"/>
            </w:pPr>
            <w:r>
              <w:rPr>
                <w:sz w:val="19"/>
              </w:rPr>
              <w:t>"Payment didn't go through": the reason in plain words, one-tap retry</w:t>
            </w:r>
          </w:p>
        </w:tc>
        <w:tc>
          <w:tcPr>
            <w:tcW w:type="dxa" w:w="1635"/>
          </w:tcPr>
          <w:p>
            <w:pPr>
              <w:spacing w:after="0"/>
            </w:pPr>
            <w:r>
              <w:rPr>
                <w:sz w:val="19"/>
              </w:rPr>
              <w:t>no successful deposit</w:t>
            </w:r>
          </w:p>
        </w:tc>
      </w:tr>
      <w:tr>
        <w:tc>
          <w:tcPr>
            <w:tcW w:type="dxa" w:w="840"/>
          </w:tcPr>
          <w:p>
            <w:pPr>
              <w:spacing w:after="0"/>
            </w:pPr>
            <w:r>
              <w:rPr>
                <w:sz w:val="19"/>
              </w:rPr>
              <w:t>2</w:t>
            </w:r>
          </w:p>
        </w:tc>
        <w:tc>
          <w:tcPr>
            <w:tcW w:type="dxa" w:w="840"/>
          </w:tcPr>
          <w:p>
            <w:pPr>
              <w:spacing w:after="0"/>
            </w:pPr>
            <w:r>
              <w:rPr>
                <w:sz w:val="19"/>
              </w:rPr>
              <w:t>+2 h</w:t>
            </w:r>
          </w:p>
        </w:tc>
        <w:tc>
          <w:tcPr>
            <w:tcW w:type="dxa" w:w="1635"/>
          </w:tcPr>
          <w:p>
            <w:pPr>
              <w:spacing w:after="0"/>
            </w:pPr>
            <w:r>
              <w:rPr>
                <w:sz w:val="19"/>
              </w:rPr>
              <w:t>Email (service)</w:t>
            </w:r>
          </w:p>
        </w:tc>
        <w:tc>
          <w:tcPr>
            <w:tcW w:type="dxa" w:w="4460"/>
          </w:tcPr>
          <w:p>
            <w:pPr>
              <w:spacing w:after="0"/>
            </w:pPr>
            <w:r>
              <w:rPr>
                <w:sz w:val="19"/>
              </w:rPr>
              <w:t>Other payment methods in their country, their limits and processing times</w:t>
            </w:r>
          </w:p>
        </w:tc>
        <w:tc>
          <w:tcPr>
            <w:tcW w:type="dxa" w:w="1635"/>
          </w:tcPr>
          <w:p>
            <w:pPr>
              <w:spacing w:after="0"/>
            </w:pPr>
            <w:r>
              <w:rPr>
                <w:sz w:val="19"/>
              </w:rPr>
              <w:t>no deposit</w:t>
            </w:r>
          </w:p>
        </w:tc>
      </w:tr>
      <w:tr>
        <w:tc>
          <w:tcPr>
            <w:tcW w:type="dxa" w:w="840"/>
          </w:tcPr>
          <w:p>
            <w:pPr>
              <w:spacing w:after="0"/>
            </w:pPr>
            <w:r>
              <w:rPr>
                <w:sz w:val="19"/>
              </w:rPr>
              <w:t>3</w:t>
            </w:r>
          </w:p>
        </w:tc>
        <w:tc>
          <w:tcPr>
            <w:tcW w:type="dxa" w:w="840"/>
          </w:tcPr>
          <w:p>
            <w:pPr>
              <w:spacing w:after="0"/>
            </w:pPr>
            <w:r>
              <w:rPr>
                <w:sz w:val="19"/>
              </w:rPr>
              <w:t>+24 h</w:t>
            </w:r>
          </w:p>
        </w:tc>
        <w:tc>
          <w:tcPr>
            <w:tcW w:type="dxa" w:w="1635"/>
          </w:tcPr>
          <w:p>
            <w:pPr>
              <w:spacing w:after="0"/>
            </w:pPr>
            <w:r>
              <w:rPr>
                <w:sz w:val="19"/>
              </w:rPr>
              <w:t>Email or chat invitation</w:t>
            </w:r>
          </w:p>
        </w:tc>
        <w:tc>
          <w:tcPr>
            <w:tcW w:type="dxa" w:w="4460"/>
          </w:tcPr>
          <w:p>
            <w:pPr>
              <w:spacing w:after="0"/>
            </w:pPr>
            <w:r>
              <w:rPr>
                <w:sz w:val="19"/>
              </w:rPr>
              <w:t>"Need help finishing your deposit?" with a direct way into support</w:t>
            </w:r>
          </w:p>
        </w:tc>
        <w:tc>
          <w:tcPr>
            <w:tcW w:type="dxa" w:w="1635"/>
          </w:tcPr>
          <w:p>
            <w:pPr>
              <w:spacing w:after="0"/>
            </w:pPr>
            <w:r>
              <w:rPr>
                <w:sz w:val="19"/>
              </w:rPr>
              <w:t>no deposit, the player hasn't contacted support on their own</w:t>
            </w:r>
          </w:p>
        </w:tc>
      </w:tr>
      <w:tr>
        <w:tc>
          <w:tcPr>
            <w:tcW w:type="dxa" w:w="840"/>
          </w:tcPr>
          <w:p>
            <w:pPr>
              <w:spacing w:after="0"/>
            </w:pPr>
            <w:r>
              <w:rPr>
                <w:sz w:val="19"/>
              </w:rPr>
              <w:t>4</w:t>
            </w:r>
          </w:p>
        </w:tc>
        <w:tc>
          <w:tcPr>
            <w:tcW w:type="dxa" w:w="840"/>
          </w:tcPr>
          <w:p>
            <w:pPr>
              <w:spacing w:after="0"/>
            </w:pPr>
            <w:r>
              <w:rPr>
                <w:sz w:val="19"/>
              </w:rPr>
              <w:t>72 h</w:t>
            </w:r>
          </w:p>
        </w:tc>
        <w:tc>
          <w:tcPr>
            <w:tcW w:type="dxa" w:w="1635"/>
          </w:tcPr>
          <w:p>
            <w:pPr>
              <w:spacing w:after="0"/>
            </w:pPr>
            <w:r>
              <w:rPr>
                <w:sz w:val="19"/>
              </w:rPr>
              <w:t>Exit</w:t>
            </w:r>
          </w:p>
        </w:tc>
        <w:tc>
          <w:tcPr>
            <w:tcW w:type="dxa" w:w="4460"/>
          </w:tcPr>
          <w:p>
            <w:pPr>
              <w:spacing w:after="0"/>
            </w:pPr>
            <w:r>
              <w:rPr>
                <w:sz w:val="19"/>
              </w:rPr>
              <w:t>The original campaign (onboarding, second deposit) carries on</w:t>
            </w:r>
          </w:p>
        </w:tc>
        <w:tc>
          <w:tcPr>
            <w:tcW w:type="dxa" w:w="1635"/>
          </w:tcPr>
          <w:p>
            <w:pPr>
              <w:spacing w:after="0"/>
            </w:pPr>
          </w:p>
        </w:tc>
      </w:tr>
    </w:tbl>
    <w:p>
      <w:pPr>
        <w:spacing w:after="40"/>
      </w:pPr>
    </w:p>
    <w:p>
      <w:r>
        <w:rPr/>
        <w:t>There are no bonuses at any step. The messages are service by nature and contain no promo.</w:t>
      </w:r>
    </w:p>
    <w:p>
      <w:pPr>
        <w:pStyle w:val="Heading2"/>
      </w:pPr>
      <w:r/>
      <w:r>
        <w:rPr/>
        <w:t>Measurement</w:t>
      </w:r>
    </w:p>
    <w:tbl>
      <w:tblPr>
        <w:tblStyle w:val="TableGrid"/>
        <w:tblW w:type="auto" w:w="0"/>
        <w:jc w:val="center"/>
        <w:tblLayout w:type="fixed"/>
        <w:tblLook w:firstColumn="1" w:firstRow="1" w:lastColumn="0" w:lastRow="0" w:noHBand="0" w:noVBand="1" w:val="04A0"/>
      </w:tblPr>
      <w:tblGrid>
        <w:gridCol w:w="6181"/>
        <w:gridCol w:w="3230"/>
      </w:tblGrid>
      <w:tr>
        <w:tc>
          <w:tcPr>
            <w:tcW w:type="dxa" w:w="6181"/>
            <w:shd w:val="clear" w:color="auto" w:fill="DCE4EE"/>
          </w:tcPr>
          <w:p>
            <w:pPr>
              <w:spacing w:after="0"/>
            </w:pPr>
            <w:r>
              <w:rPr>
                <w:b/>
                <w:sz w:val="19"/>
              </w:rPr>
              <w:t>Metric</w:t>
            </w:r>
          </w:p>
        </w:tc>
        <w:tc>
          <w:tcPr>
            <w:tcW w:type="dxa" w:w="3230"/>
            <w:shd w:val="clear" w:color="auto" w:fill="DCE4EE"/>
          </w:tcPr>
          <w:p>
            <w:pPr>
              <w:spacing w:after="0"/>
            </w:pPr>
            <w:r>
              <w:rPr>
                <w:b/>
                <w:sz w:val="19"/>
              </w:rPr>
              <w:t>What it shows</w:t>
            </w:r>
          </w:p>
        </w:tc>
      </w:tr>
      <w:tr>
        <w:tc>
          <w:tcPr>
            <w:tcW w:type="dxa" w:w="6181"/>
          </w:tcPr>
          <w:p>
            <w:pPr>
              <w:spacing w:after="0"/>
            </w:pPr>
            <w:r>
              <w:rPr>
                <w:sz w:val="19"/>
              </w:rPr>
            </w:r>
            <w:r>
              <w:rPr>
                <w:b/>
                <w:sz w:val="19"/>
              </w:rPr>
              <w:t>Primary:</w:t>
            </w:r>
            <w:r>
              <w:rPr>
                <w:sz w:val="19"/>
              </w:rPr>
              <w:t xml:space="preserve"> successful deposit within 24 h of the failure, test vs control</w:t>
            </w:r>
          </w:p>
        </w:tc>
        <w:tc>
          <w:tcPr>
            <w:tcW w:type="dxa" w:w="3230"/>
          </w:tcPr>
          <w:p>
            <w:pPr>
              <w:spacing w:after="0"/>
            </w:pPr>
            <w:r>
              <w:rPr>
                <w:sz w:val="19"/>
              </w:rPr>
              <w:t>whether the journey works</w:t>
            </w:r>
          </w:p>
        </w:tc>
      </w:tr>
      <w:tr>
        <w:tc>
          <w:tcPr>
            <w:tcW w:type="dxa" w:w="6181"/>
          </w:tcPr>
          <w:p>
            <w:pPr>
              <w:spacing w:after="0"/>
            </w:pPr>
            <w:r>
              <w:rPr>
                <w:sz w:val="19"/>
              </w:rPr>
              <w:t>First deposit rate among players whose first attempt failed</w:t>
            </w:r>
          </w:p>
        </w:tc>
        <w:tc>
          <w:tcPr>
            <w:tcW w:type="dxa" w:w="3230"/>
          </w:tcPr>
          <w:p>
            <w:pPr>
              <w:spacing w:after="0"/>
            </w:pPr>
            <w:r>
              <w:rPr>
                <w:sz w:val="19"/>
              </w:rPr>
              <w:t>contribution to onboarding</w:t>
            </w:r>
          </w:p>
        </w:tc>
      </w:tr>
      <w:tr>
        <w:tc>
          <w:tcPr>
            <w:tcW w:type="dxa" w:w="6181"/>
          </w:tcPr>
          <w:p>
            <w:pPr>
              <w:spacing w:after="0"/>
            </w:pPr>
            <w:r>
              <w:rPr>
                <w:sz w:val="19"/>
              </w:rPr>
              <w:t>Support contacts per failure</w:t>
            </w:r>
          </w:p>
        </w:tc>
        <w:tc>
          <w:tcPr>
            <w:tcW w:type="dxa" w:w="3230"/>
          </w:tcPr>
          <w:p>
            <w:pPr>
              <w:spacing w:after="0"/>
            </w:pPr>
            <w:r>
              <w:rPr>
                <w:sz w:val="19"/>
              </w:rPr>
              <w:t>whether the messages help or create extra load</w:t>
            </w:r>
          </w:p>
        </w:tc>
      </w:tr>
      <w:tr>
        <w:tc>
          <w:tcPr>
            <w:tcW w:type="dxa" w:w="6181"/>
          </w:tcPr>
          <w:p>
            <w:pPr>
              <w:spacing w:after="0"/>
            </w:pPr>
            <w:r>
              <w:rPr>
                <w:sz w:val="19"/>
              </w:rPr>
              <w:t>Decline rate by payment method and bank</w:t>
            </w:r>
          </w:p>
        </w:tc>
        <w:tc>
          <w:tcPr>
            <w:tcW w:type="dxa" w:w="3230"/>
          </w:tcPr>
          <w:p>
            <w:pPr>
              <w:spacing w:after="0"/>
            </w:pPr>
            <w:r>
              <w:rPr>
                <w:sz w:val="19"/>
              </w:rPr>
              <w:t>for the payments team</w:t>
            </w:r>
          </w:p>
        </w:tc>
      </w:tr>
      <w:tr>
        <w:tc>
          <w:tcPr>
            <w:tcW w:type="dxa" w:w="6181"/>
          </w:tcPr>
          <w:p>
            <w:pPr>
              <w:spacing w:after="0"/>
            </w:pPr>
            <w:r>
              <w:rPr>
                <w:sz w:val="19"/>
              </w:rPr>
            </w:r>
            <w:r>
              <w:rPr>
                <w:b/>
                <w:sz w:val="19"/>
              </w:rPr>
              <w:t>Guardrails:</w:t>
            </w:r>
            <w:r>
              <w:rPr>
                <w:sz w:val="19"/>
              </w:rPr>
              <w:t xml:space="preserve"> zero messages after declines on the "no messages" list; RG risk changes</w:t>
            </w:r>
          </w:p>
        </w:tc>
        <w:tc>
          <w:tcPr>
            <w:tcW w:type="dxa" w:w="3230"/>
          </w:tcPr>
          <w:p>
            <w:pPr>
              <w:spacing w:after="0"/>
            </w:pPr>
            <w:r>
              <w:rPr>
                <w:sz w:val="19"/>
              </w:rPr>
              <w:t>safety</w:t>
            </w:r>
          </w:p>
        </w:tc>
      </w:tr>
    </w:tbl>
    <w:p>
      <w:pPr>
        <w:spacing w:after="40"/>
      </w:pPr>
    </w:p>
    <w:p>
      <w:pPr>
        <w:tabs>
          <w:tab w:pos="397" w:val="left"/>
        </w:tabs>
        <w:spacing w:after="40"/>
        <w:ind w:left="397" w:hanging="283"/>
      </w:pPr>
      <w:r>
        <w:t>•</w:t>
        <w:tab/>
      </w:r>
      <w:r>
        <w:rPr/>
      </w:r>
      <w:r>
        <w:rPr>
          <w:b/>
        </w:rPr>
        <w:t>Design:</w:t>
      </w:r>
      <w:r>
        <w:rPr/>
        <w:t xml:space="preserve"> 10% holdout on CRM messages only.</w:t>
      </w:r>
    </w:p>
    <w:p>
      <w:pPr>
        <w:tabs>
          <w:tab w:pos="397" w:val="left"/>
        </w:tabs>
        <w:spacing w:after="40"/>
        <w:ind w:left="397" w:hanging="283"/>
      </w:pPr>
      <w:r>
        <w:t>•</w:t>
        <w:tab/>
      </w:r>
      <w:r>
        <w:rPr/>
      </w:r>
      <w:r>
        <w:rPr>
          <w:b/>
        </w:rPr>
        <w:t>Volumes are usually small</w:t>
      </w:r>
      <w:r>
        <w:rPr/>
        <w:t>, so I read results once a quarter.</w:t>
      </w:r>
    </w:p>
    <w:p>
      <w:pPr>
        <w:tabs>
          <w:tab w:pos="397" w:val="left"/>
        </w:tabs>
        <w:spacing w:after="40"/>
        <w:ind w:left="397" w:hanging="283"/>
      </w:pPr>
      <w:r>
        <w:t>•</w:t>
        <w:tab/>
      </w:r>
      <w:r>
        <w:rPr/>
      </w:r>
      <w:r>
        <w:rPr>
          <w:b/>
        </w:rPr>
        <w:t>Audit:</w:t>
      </w:r>
      <w:r>
        <w:rPr/>
        <w:t xml:space="preserve"> once a month a sample of sent messages is checked against </w:t>
      </w:r>
      <w:r>
        <w:rPr>
          <w:rFonts w:ascii="Consolas" w:hAnsi="Consolas"/>
          <w:color w:val="552B00"/>
          <w:sz w:val="19"/>
        </w:rPr>
        <w:t>decline_reason</w:t>
      </w:r>
      <w:r>
        <w:rPr/>
        <w:t>, the target is zero errors.</w:t>
      </w:r>
    </w:p>
    <w:p>
      <w:r>
        <w:br w:type="page"/>
      </w:r>
    </w:p>
    <w:p>
      <w:pPr>
        <w:pStyle w:val="Heading2"/>
      </w:pPr>
      <w:r>
        <w:t>Appendix: workflow in Customer.io</w:t>
      </w:r>
    </w:p>
    <w:p>
      <w:r>
        <w:drawing>
          <wp:inline xmlns:a="http://schemas.openxmlformats.org/drawingml/2006/main" xmlns:pic="http://schemas.openxmlformats.org/drawingml/2006/picture">
            <wp:extent cx="5976000" cy="8016105"/>
            <wp:docPr id="1" name="Picture 1"/>
            <wp:cNvGraphicFramePr>
              <a:graphicFrameLocks noChangeAspect="1"/>
            </wp:cNvGraphicFramePr>
            <a:graphic>
              <a:graphicData uri="http://schemas.openxmlformats.org/drawingml/2006/picture">
                <pic:pic>
                  <pic:nvPicPr>
                    <pic:cNvPr id="0" name="05-failed-deposit-recovery.png"/>
                    <pic:cNvPicPr/>
                  </pic:nvPicPr>
                  <pic:blipFill>
                    <a:blip r:embed="rId9"/>
                    <a:stretch>
                      <a:fillRect/>
                    </a:stretch>
                  </pic:blipFill>
                  <pic:spPr>
                    <a:xfrm>
                      <a:off x="0" y="0"/>
                      <a:ext cx="5976000" cy="8016105"/>
                    </a:xfrm>
                    <a:prstGeom prst="rect"/>
                  </pic:spPr>
                </pic:pic>
              </a:graphicData>
            </a:graphic>
          </wp:inline>
        </w:drawing>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