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Cross-sell: sports -&gt; casino</w:t>
      </w:r>
    </w:p>
    <w:p>
      <w:pPr>
        <w:spacing w:before="80" w:after="160"/>
        <w:ind w:left="227"/>
        <w:pBdr>
          <w:left w:val="single" w:sz="18" w:space="8" w:color="1F3A5F"/>
        </w:pBdr>
        <w:shd w:val="clear" w:color="auto" w:fill="F1F4F8"/>
      </w:pPr>
      <w:r>
        <w:rPr/>
      </w:r>
      <w:r>
        <w:rPr>
          <w:b/>
        </w:rPr>
        <w:t>In short:</w:t>
      </w:r>
      <w:r>
        <w:rPr/>
        <w:t xml:space="preserve"> introduce casino to sports players who already show some interest in it, at a moment when they're not busy with a match. Content first, then a small casino-only incentive. The decision is made on the player's total NGR (sports + casino), so we don't mistake moving money around for growth.</w:t>
      </w:r>
    </w:p>
    <w:p>
      <w:pPr>
        <w:pStyle w:val="Heading2"/>
      </w:pPr>
      <w:r/>
      <w:r>
        <w:rPr/>
        <w:t>Task</w:t>
      </w:r>
    </w:p>
    <w:p>
      <w:r>
        <w:rPr/>
        <w:t>Players who use both products often look more valuable. But that might only mean that engaged players simply try more things. It doesn't follow from the correlation that pushing casino on a pure bettor will make them more valuable. Cross-sell only makes sense if it creates extra value. If money just moved from sports to casino, we haven't earned anything.</w:t>
      </w:r>
    </w:p>
    <w:p>
      <w:pPr>
        <w:pStyle w:val="Heading2"/>
      </w:pPr>
      <w:r/>
      <w:r>
        <w:rPr/>
        <w:t>Campaign card</w:t>
      </w:r>
    </w:p>
    <w:tbl>
      <w:tblPr>
        <w:tblStyle w:val="TableGrid"/>
        <w:tblW w:type="auto" w:w="0"/>
        <w:jc w:val="center"/>
        <w:tblLayout w:type="fixed"/>
        <w:tblLook w:firstColumn="1" w:firstRow="1" w:lastColumn="0" w:lastRow="0" w:noHBand="0" w:noVBand="1" w:val="04A0"/>
      </w:tblPr>
      <w:tblGrid>
        <w:gridCol w:w="1531"/>
        <w:gridCol w:w="7880"/>
      </w:tblGrid>
      <w:tr>
        <w:tc>
          <w:tcPr>
            <w:tcW w:type="dxa" w:w="1531"/>
            <w:shd w:val="clear" w:color="auto" w:fill="DCE4EE"/>
          </w:tcPr>
          <w:p>
            <w:pPr>
              <w:spacing w:after="0"/>
            </w:pPr>
            <w:r>
              <w:rPr>
                <w:b/>
                <w:sz w:val="19"/>
              </w:rPr>
              <w:t>Parameter</w:t>
            </w:r>
          </w:p>
        </w:tc>
        <w:tc>
          <w:tcPr>
            <w:tcW w:type="dxa" w:w="7880"/>
            <w:shd w:val="clear" w:color="auto" w:fill="DCE4EE"/>
          </w:tcPr>
          <w:p>
            <w:pPr>
              <w:spacing w:after="0"/>
            </w:pPr>
            <w:r>
              <w:rPr>
                <w:b/>
                <w:sz w:val="19"/>
              </w:rPr>
              <w:t>Value</w:t>
            </w:r>
          </w:p>
        </w:tc>
      </w:tr>
      <w:tr>
        <w:tc>
          <w:tcPr>
            <w:tcW w:type="dxa" w:w="1531"/>
          </w:tcPr>
          <w:p>
            <w:pPr>
              <w:spacing w:after="0"/>
            </w:pPr>
            <w:r>
              <w:rPr>
                <w:sz w:val="19"/>
              </w:rPr>
              <w:t>Type</w:t>
            </w:r>
          </w:p>
        </w:tc>
        <w:tc>
          <w:tcPr>
            <w:tcW w:type="dxa" w:w="7880"/>
          </w:tcPr>
          <w:p>
            <w:pPr>
              <w:spacing w:after="0"/>
            </w:pPr>
            <w:r>
              <w:rPr>
                <w:sz w:val="19"/>
              </w:rPr>
              <w:t>scheduled wave by segment, once a week, on a quiet day</w:t>
            </w:r>
          </w:p>
        </w:tc>
      </w:tr>
      <w:tr>
        <w:tc>
          <w:tcPr>
            <w:tcW w:type="dxa" w:w="1531"/>
          </w:tcPr>
          <w:p>
            <w:pPr>
              <w:spacing w:after="0"/>
            </w:pPr>
            <w:r>
              <w:rPr>
                <w:sz w:val="19"/>
              </w:rPr>
              <w:t>Entry</w:t>
            </w:r>
          </w:p>
        </w:tc>
        <w:tc>
          <w:tcPr>
            <w:tcW w:type="dxa" w:w="7880"/>
          </w:tcPr>
          <w:p>
            <w:pPr>
              <w:spacing w:after="0"/>
            </w:pPr>
            <w:r>
              <w:rPr>
                <w:sz w:val="19"/>
              </w:rPr>
              <w:t>sports only: almost all bets (e.g. 95%+) over 60 days on sports; active in the last 14 days; consent for casino marketing</w:t>
            </w:r>
          </w:p>
        </w:tc>
      </w:tr>
      <w:tr>
        <w:tc>
          <w:tcPr>
            <w:tcW w:type="dxa" w:w="1531"/>
          </w:tcPr>
          <w:p>
            <w:pPr>
              <w:spacing w:after="0"/>
            </w:pPr>
            <w:r>
              <w:rPr>
                <w:sz w:val="19"/>
              </w:rPr>
              <w:t>Re-entry</w:t>
            </w:r>
          </w:p>
        </w:tc>
        <w:tc>
          <w:tcPr>
            <w:tcW w:type="dxa" w:w="7880"/>
          </w:tcPr>
          <w:p>
            <w:pPr>
              <w:spacing w:after="0"/>
            </w:pPr>
            <w:r>
              <w:rPr>
                <w:sz w:val="19"/>
              </w:rPr>
              <w:t>no more than once every 90 days</w:t>
            </w:r>
          </w:p>
        </w:tc>
      </w:tr>
      <w:tr>
        <w:tc>
          <w:tcPr>
            <w:tcW w:type="dxa" w:w="1531"/>
          </w:tcPr>
          <w:p>
            <w:pPr>
              <w:spacing w:after="0"/>
            </w:pPr>
            <w:r>
              <w:rPr>
                <w:sz w:val="19"/>
              </w:rPr>
              <w:t>Goal (conversion)</w:t>
            </w:r>
          </w:p>
        </w:tc>
        <w:tc>
          <w:tcPr>
            <w:tcW w:type="dxa" w:w="7880"/>
          </w:tcPr>
          <w:p>
            <w:pPr>
              <w:spacing w:after="0"/>
            </w:pPr>
            <w:r>
              <w:rPr>
                <w:sz w:val="19"/>
              </w:rPr>
              <w:t>first casino bet (</w:t>
            </w:r>
            <w:r>
              <w:rPr>
                <w:rFonts w:ascii="Consolas" w:hAnsi="Consolas"/>
                <w:color w:val="552B00"/>
                <w:sz w:val="19"/>
              </w:rPr>
              <w:t>casino_first_bet</w:t>
            </w:r>
            <w:r>
              <w:rPr>
                <w:sz w:val="19"/>
              </w:rPr>
              <w:t>) within 14 days</w:t>
            </w:r>
          </w:p>
        </w:tc>
      </w:tr>
      <w:tr>
        <w:tc>
          <w:tcPr>
            <w:tcW w:type="dxa" w:w="1531"/>
          </w:tcPr>
          <w:p>
            <w:pPr>
              <w:spacing w:after="0"/>
            </w:pPr>
            <w:r>
              <w:rPr>
                <w:sz w:val="19"/>
              </w:rPr>
              <w:t>Exit</w:t>
            </w:r>
          </w:p>
        </w:tc>
        <w:tc>
          <w:tcPr>
            <w:tcW w:type="dxa" w:w="7880"/>
          </w:tcPr>
          <w:p>
            <w:pPr>
              <w:spacing w:after="0"/>
            </w:pPr>
            <w:r>
              <w:rPr>
                <w:sz w:val="19"/>
              </w:rPr>
              <w:t>first casino bet; self-exclusion or time-out; RG risk went up; day 14</w:t>
            </w:r>
          </w:p>
        </w:tc>
      </w:tr>
      <w:tr>
        <w:tc>
          <w:tcPr>
            <w:tcW w:type="dxa" w:w="1531"/>
          </w:tcPr>
          <w:p>
            <w:pPr>
              <w:spacing w:after="0"/>
            </w:pPr>
            <w:r>
              <w:rPr>
                <w:sz w:val="19"/>
              </w:rPr>
              <w:t>Priority</w:t>
            </w:r>
          </w:p>
        </w:tc>
        <w:tc>
          <w:tcPr>
            <w:tcW w:type="dxa" w:w="7880"/>
          </w:tcPr>
          <w:p>
            <w:pPr>
              <w:spacing w:after="0"/>
            </w:pPr>
            <w:r>
              <w:rPr>
                <w:sz w:val="19"/>
              </w:rPr>
              <w:t>lowest among promo campaigns; doesn't start if the player is in any other promo journey</w:t>
            </w:r>
          </w:p>
        </w:tc>
      </w:tr>
      <w:tr>
        <w:tc>
          <w:tcPr>
            <w:tcW w:type="dxa" w:w="1531"/>
          </w:tcPr>
          <w:p>
            <w:pPr>
              <w:spacing w:after="0"/>
            </w:pPr>
            <w:r>
              <w:rPr>
                <w:sz w:val="19"/>
              </w:rPr>
              <w:t>Channels</w:t>
            </w:r>
          </w:p>
        </w:tc>
        <w:tc>
          <w:tcPr>
            <w:tcW w:type="dxa" w:w="7880"/>
          </w:tcPr>
          <w:p>
            <w:pPr>
              <w:spacing w:after="0"/>
            </w:pPr>
            <w:r>
              <w:rPr>
                <w:sz w:val="19"/>
              </w:rPr>
              <w:t>in-app, email, push</w:t>
            </w:r>
          </w:p>
        </w:tc>
      </w:tr>
      <w:tr>
        <w:tc>
          <w:tcPr>
            <w:tcW w:type="dxa" w:w="1531"/>
          </w:tcPr>
          <w:p>
            <w:pPr>
              <w:spacing w:after="0"/>
            </w:pPr>
            <w:r>
              <w:rPr>
                <w:sz w:val="19"/>
              </w:rPr>
              <w:t>Holdout</w:t>
            </w:r>
          </w:p>
        </w:tc>
        <w:tc>
          <w:tcPr>
            <w:tcW w:type="dxa" w:w="7880"/>
          </w:tcPr>
          <w:p>
            <w:pPr>
              <w:spacing w:after="0"/>
            </w:pPr>
            <w:r>
              <w:rPr>
                <w:sz w:val="19"/>
              </w:rPr>
              <w:t>20% (baseline conversion is low, so a bigger control is needed)</w:t>
            </w:r>
          </w:p>
        </w:tc>
      </w:tr>
      <w:tr>
        <w:tc>
          <w:tcPr>
            <w:tcW w:type="dxa" w:w="1531"/>
          </w:tcPr>
          <w:p>
            <w:pPr>
              <w:spacing w:after="0"/>
            </w:pPr>
            <w:r>
              <w:rPr>
                <w:sz w:val="19"/>
              </w:rPr>
              <w:t>Owner</w:t>
            </w:r>
          </w:p>
        </w:tc>
        <w:tc>
          <w:tcPr>
            <w:tcW w:type="dxa" w:w="7880"/>
          </w:tcPr>
          <w:p>
            <w:pPr>
              <w:spacing w:after="0"/>
            </w:pPr>
            <w:r>
              <w:rPr>
                <w:sz w:val="19"/>
              </w:rPr>
              <w:t>CRM; the RG team signs off the exclusion criteria</w:t>
            </w:r>
          </w:p>
        </w:tc>
      </w:tr>
    </w:tbl>
    <w:p>
      <w:pPr>
        <w:spacing w:after="40"/>
      </w:pPr>
    </w:p>
    <w:p>
      <w:pPr>
        <w:pStyle w:val="Heading2"/>
      </w:pPr>
      <w:r/>
      <w:r>
        <w:rPr/>
        <w:t>Audience, eligibility and exclusions</w:t>
      </w:r>
    </w:p>
    <w:p>
      <w:r>
        <w:rPr/>
      </w:r>
      <w:r>
        <w:rPr>
          <w:b/>
        </w:rPr>
        <w:t>Start with the warmest segments:</w:t>
      </w:r>
      <w:r>
        <w:rPr/>
      </w:r>
    </w:p>
    <w:tbl>
      <w:tblPr>
        <w:tblStyle w:val="TableGrid"/>
        <w:tblW w:type="auto" w:w="0"/>
        <w:jc w:val="center"/>
        <w:tblLayout w:type="fixed"/>
        <w:tblLook w:firstColumn="1" w:firstRow="1" w:lastColumn="0" w:lastRow="0" w:noHBand="0" w:noVBand="1" w:val="04A0"/>
      </w:tblPr>
      <w:tblGrid>
        <w:gridCol w:w="3371"/>
        <w:gridCol w:w="2781"/>
        <w:gridCol w:w="3259"/>
      </w:tblGrid>
      <w:tr>
        <w:tc>
          <w:tcPr>
            <w:tcW w:type="dxa" w:w="3371"/>
            <w:shd w:val="clear" w:color="auto" w:fill="DCE4EE"/>
          </w:tcPr>
          <w:p>
            <w:pPr>
              <w:spacing w:after="0"/>
            </w:pPr>
            <w:r>
              <w:rPr>
                <w:b/>
                <w:sz w:val="19"/>
              </w:rPr>
              <w:t>Segment</w:t>
            </w:r>
          </w:p>
        </w:tc>
        <w:tc>
          <w:tcPr>
            <w:tcW w:type="dxa" w:w="2781"/>
            <w:shd w:val="clear" w:color="auto" w:fill="DCE4EE"/>
          </w:tcPr>
          <w:p>
            <w:pPr>
              <w:spacing w:after="0"/>
            </w:pPr>
            <w:r>
              <w:rPr>
                <w:b/>
                <w:sz w:val="19"/>
              </w:rPr>
              <w:t>Expected response</w:t>
            </w:r>
          </w:p>
        </w:tc>
        <w:tc>
          <w:tcPr>
            <w:tcW w:type="dxa" w:w="3259"/>
            <w:shd w:val="clear" w:color="auto" w:fill="DCE4EE"/>
          </w:tcPr>
          <w:p>
            <w:pPr>
              <w:spacing w:after="0"/>
            </w:pPr>
            <w:r>
              <w:rPr>
                <w:b/>
                <w:sz w:val="19"/>
              </w:rPr>
              <w:t>What we do</w:t>
            </w:r>
          </w:p>
        </w:tc>
      </w:tr>
      <w:tr>
        <w:tc>
          <w:tcPr>
            <w:tcW w:type="dxa" w:w="3371"/>
          </w:tcPr>
          <w:p>
            <w:pPr>
              <w:spacing w:after="0"/>
            </w:pPr>
            <w:r>
              <w:rPr>
                <w:sz w:val="19"/>
              </w:rPr>
              <w:t>Already visited the casino (demo, one session)</w:t>
            </w:r>
          </w:p>
        </w:tc>
        <w:tc>
          <w:tcPr>
            <w:tcW w:type="dxa" w:w="2781"/>
          </w:tcPr>
          <w:p>
            <w:pPr>
              <w:spacing w:after="0"/>
            </w:pPr>
            <w:r>
              <w:rPr>
                <w:sz w:val="19"/>
              </w:rPr>
              <w:t>highest interest</w:t>
            </w:r>
          </w:p>
        </w:tc>
        <w:tc>
          <w:tcPr>
            <w:tcW w:type="dxa" w:w="3259"/>
          </w:tcPr>
          <w:p>
            <w:pPr>
              <w:spacing w:after="0"/>
            </w:pPr>
            <w:r>
              <w:rPr>
                <w:sz w:val="19"/>
              </w:rPr>
              <w:t>first wave</w:t>
            </w:r>
          </w:p>
        </w:tc>
      </w:tr>
      <w:tr>
        <w:tc>
          <w:tcPr>
            <w:tcW w:type="dxa" w:w="3371"/>
          </w:tcPr>
          <w:p>
            <w:pPr>
              <w:spacing w:after="0"/>
            </w:pPr>
            <w:r>
              <w:rPr>
                <w:sz w:val="19"/>
              </w:rPr>
              <w:t>Bet on sports often, especially live</w:t>
            </w:r>
          </w:p>
        </w:tc>
        <w:tc>
          <w:tcPr>
            <w:tcW w:type="dxa" w:w="2781"/>
          </w:tcPr>
          <w:p>
            <w:pPr>
              <w:spacing w:after="0"/>
            </w:pPr>
            <w:r>
              <w:rPr>
                <w:sz w:val="19"/>
              </w:rPr>
              <w:t>engaged, fast games might work for them</w:t>
            </w:r>
          </w:p>
        </w:tc>
        <w:tc>
          <w:tcPr>
            <w:tcW w:type="dxa" w:w="3259"/>
          </w:tcPr>
          <w:p>
            <w:pPr>
              <w:spacing w:after="0"/>
            </w:pPr>
            <w:r>
              <w:rPr>
                <w:sz w:val="19"/>
              </w:rPr>
              <w:t>second wave, if the first one paid off</w:t>
            </w:r>
          </w:p>
        </w:tc>
      </w:tr>
      <w:tr>
        <w:tc>
          <w:tcPr>
            <w:tcW w:type="dxa" w:w="3371"/>
          </w:tcPr>
          <w:p>
            <w:pPr>
              <w:spacing w:after="0"/>
            </w:pPr>
            <w:r>
              <w:rPr>
                <w:sz w:val="19"/>
              </w:rPr>
              <w:t>Bet only at weekends, around big events</w:t>
            </w:r>
          </w:p>
        </w:tc>
        <w:tc>
          <w:tcPr>
            <w:tcW w:type="dxa" w:w="2781"/>
          </w:tcPr>
          <w:p>
            <w:pPr>
              <w:spacing w:after="0"/>
            </w:pPr>
            <w:r>
              <w:rPr>
                <w:sz w:val="19"/>
              </w:rPr>
              <w:t>low interest</w:t>
            </w:r>
          </w:p>
        </w:tc>
        <w:tc>
          <w:tcPr>
            <w:tcW w:type="dxa" w:w="3259"/>
          </w:tcPr>
          <w:p>
            <w:pPr>
              <w:spacing w:after="0"/>
            </w:pPr>
            <w:r>
              <w:rPr>
                <w:sz w:val="19"/>
              </w:rPr>
              <w:t>leave them alone</w:t>
            </w:r>
          </w:p>
        </w:tc>
      </w:tr>
      <w:tr>
        <w:tc>
          <w:tcPr>
            <w:tcW w:type="dxa" w:w="3371"/>
          </w:tcPr>
          <w:p>
            <w:pPr>
              <w:spacing w:after="0"/>
            </w:pPr>
            <w:r>
              <w:rPr>
                <w:sz w:val="19"/>
              </w:rPr>
              <w:t>High-value sports players</w:t>
            </w:r>
          </w:p>
        </w:tc>
        <w:tc>
          <w:tcPr>
            <w:tcW w:type="dxa" w:w="2781"/>
          </w:tcPr>
          <w:p>
            <w:pPr>
              <w:spacing w:after="0"/>
            </w:pPr>
            <w:r>
              <w:rPr>
                <w:sz w:val="19"/>
              </w:rPr>
              <w:t>careful: core revenue could take a hit</w:t>
            </w:r>
          </w:p>
        </w:tc>
        <w:tc>
          <w:tcPr>
            <w:tcW w:type="dxa" w:w="3259"/>
          </w:tcPr>
          <w:p>
            <w:pPr>
              <w:spacing w:after="0"/>
            </w:pPr>
            <w:r>
              <w:rPr>
                <w:sz w:val="19"/>
              </w:rPr>
              <w:t>only after results from the first waves and with the VIP team's agreement</w:t>
            </w:r>
          </w:p>
        </w:tc>
      </w:tr>
    </w:tbl>
    <w:p>
      <w:pPr>
        <w:spacing w:after="40"/>
      </w:pPr>
    </w:p>
    <w:p>
      <w:pPr>
        <w:pStyle w:val="Heading2"/>
      </w:pPr>
      <w:r/>
      <w:r>
        <w:rPr/>
        <w:t>Journey</w:t>
      </w:r>
    </w:p>
    <w:tbl>
      <w:tblPr>
        <w:tblStyle w:val="TableGrid"/>
        <w:tblW w:type="auto" w:w="0"/>
        <w:jc w:val="center"/>
        <w:tblLayout w:type="fixed"/>
        <w:tblLook w:firstColumn="1" w:firstRow="1" w:lastColumn="0" w:lastRow="0" w:noHBand="0" w:noVBand="1" w:val="04A0"/>
      </w:tblPr>
      <w:tblGrid>
        <w:gridCol w:w="920"/>
        <w:gridCol w:w="920"/>
        <w:gridCol w:w="920"/>
        <w:gridCol w:w="5098"/>
        <w:gridCol w:w="1554"/>
      </w:tblGrid>
      <w:tr>
        <w:tc>
          <w:tcPr>
            <w:tcW w:type="dxa" w:w="920"/>
            <w:shd w:val="clear" w:color="auto" w:fill="DCE4EE"/>
          </w:tcPr>
          <w:p>
            <w:pPr>
              <w:spacing w:after="0"/>
            </w:pPr>
            <w:r>
              <w:rPr>
                <w:b/>
                <w:sz w:val="19"/>
              </w:rPr>
              <w:t>#</w:t>
            </w:r>
          </w:p>
        </w:tc>
        <w:tc>
          <w:tcPr>
            <w:tcW w:type="dxa" w:w="920"/>
            <w:shd w:val="clear" w:color="auto" w:fill="DCE4EE"/>
          </w:tcPr>
          <w:p>
            <w:pPr>
              <w:spacing w:after="0"/>
            </w:pPr>
            <w:r>
              <w:rPr>
                <w:b/>
                <w:sz w:val="19"/>
              </w:rPr>
              <w:t>When</w:t>
            </w:r>
          </w:p>
        </w:tc>
        <w:tc>
          <w:tcPr>
            <w:tcW w:type="dxa" w:w="920"/>
            <w:shd w:val="clear" w:color="auto" w:fill="DCE4EE"/>
          </w:tcPr>
          <w:p>
            <w:pPr>
              <w:spacing w:after="0"/>
            </w:pPr>
            <w:r>
              <w:rPr>
                <w:b/>
                <w:sz w:val="19"/>
              </w:rPr>
              <w:t>Channel / block</w:t>
            </w:r>
          </w:p>
        </w:tc>
        <w:tc>
          <w:tcPr>
            <w:tcW w:type="dxa" w:w="5098"/>
            <w:shd w:val="clear" w:color="auto" w:fill="DCE4EE"/>
          </w:tcPr>
          <w:p>
            <w:pPr>
              <w:spacing w:after="0"/>
            </w:pPr>
            <w:r>
              <w:rPr>
                <w:b/>
                <w:sz w:val="19"/>
              </w:rPr>
              <w:t>Content</w:t>
            </w:r>
          </w:p>
        </w:tc>
        <w:tc>
          <w:tcPr>
            <w:tcW w:type="dxa" w:w="1554"/>
            <w:shd w:val="clear" w:color="auto" w:fill="DCE4EE"/>
          </w:tcPr>
          <w:p>
            <w:pPr>
              <w:spacing w:after="0"/>
            </w:pPr>
            <w:r>
              <w:rPr>
                <w:b/>
                <w:sz w:val="19"/>
              </w:rPr>
              <w:t>Send condition</w:t>
            </w:r>
          </w:p>
        </w:tc>
      </w:tr>
      <w:tr>
        <w:tc>
          <w:tcPr>
            <w:tcW w:type="dxa" w:w="920"/>
          </w:tcPr>
          <w:p>
            <w:pPr>
              <w:spacing w:after="0"/>
            </w:pPr>
            <w:r>
              <w:rPr>
                <w:sz w:val="19"/>
              </w:rPr>
              <w:t>0</w:t>
            </w:r>
          </w:p>
        </w:tc>
        <w:tc>
          <w:tcPr>
            <w:tcW w:type="dxa" w:w="920"/>
          </w:tcPr>
          <w:p>
            <w:pPr>
              <w:spacing w:after="0"/>
            </w:pPr>
            <w:r>
              <w:rPr>
                <w:sz w:val="19"/>
              </w:rPr>
              <w:t>entry</w:t>
            </w:r>
          </w:p>
        </w:tc>
        <w:tc>
          <w:tcPr>
            <w:tcW w:type="dxa" w:w="920"/>
          </w:tcPr>
          <w:p>
            <w:pPr>
              <w:spacing w:after="0"/>
            </w:pPr>
            <w:r>
              <w:rPr>
                <w:sz w:val="19"/>
              </w:rPr>
              <w:t>Random split</w:t>
            </w:r>
          </w:p>
        </w:tc>
        <w:tc>
          <w:tcPr>
            <w:tcW w:type="dxa" w:w="5098"/>
          </w:tcPr>
          <w:p>
            <w:pPr>
              <w:spacing w:after="0"/>
            </w:pPr>
            <w:r>
              <w:rPr>
                <w:sz w:val="19"/>
              </w:rPr>
              <w:t xml:space="preserve">80% - journey, 20% - control; group in </w:t>
            </w:r>
            <w:r>
              <w:rPr>
                <w:rFonts w:ascii="Consolas" w:hAnsi="Consolas"/>
                <w:color w:val="552B00"/>
                <w:sz w:val="19"/>
              </w:rPr>
              <w:t>xsell_group</w:t>
            </w:r>
          </w:p>
        </w:tc>
        <w:tc>
          <w:tcPr>
            <w:tcW w:type="dxa" w:w="1554"/>
          </w:tcPr>
          <w:p>
            <w:pPr>
              <w:spacing w:after="0"/>
            </w:pPr>
          </w:p>
        </w:tc>
      </w:tr>
      <w:tr>
        <w:tc>
          <w:tcPr>
            <w:tcW w:type="dxa" w:w="920"/>
          </w:tcPr>
          <w:p>
            <w:pPr>
              <w:spacing w:after="0"/>
            </w:pPr>
            <w:r>
              <w:rPr>
                <w:sz w:val="19"/>
              </w:rPr>
              <w:t>1</w:t>
            </w:r>
          </w:p>
        </w:tc>
        <w:tc>
          <w:tcPr>
            <w:tcW w:type="dxa" w:w="920"/>
          </w:tcPr>
          <w:p>
            <w:pPr>
              <w:spacing w:after="0"/>
            </w:pPr>
            <w:r>
              <w:rPr>
                <w:sz w:val="19"/>
              </w:rPr>
              <w:t>day 0, quiet moment</w:t>
            </w:r>
          </w:p>
        </w:tc>
        <w:tc>
          <w:tcPr>
            <w:tcW w:type="dxa" w:w="920"/>
          </w:tcPr>
          <w:p>
            <w:pPr>
              <w:spacing w:after="0"/>
            </w:pPr>
            <w:r>
              <w:rPr>
                <w:sz w:val="19"/>
              </w:rPr>
              <w:t>In-app</w:t>
            </w:r>
          </w:p>
        </w:tc>
        <w:tc>
          <w:tcPr>
            <w:tcW w:type="dxa" w:w="5098"/>
          </w:tcPr>
          <w:p>
            <w:pPr>
              <w:spacing w:after="0"/>
            </w:pPr>
            <w:r>
              <w:rPr>
                <w:sz w:val="19"/>
              </w:rPr>
              <w:t>"Discover casino" tile: games close to sports interests (live game shows, fast games)</w:t>
            </w:r>
          </w:p>
        </w:tc>
        <w:tc>
          <w:tcPr>
            <w:tcW w:type="dxa" w:w="1554"/>
          </w:tcPr>
          <w:p>
            <w:pPr>
              <w:spacing w:after="0"/>
            </w:pPr>
            <w:r>
              <w:rPr>
                <w:sz w:val="19"/>
              </w:rPr>
              <w:t>on site, no open live bets</w:t>
            </w:r>
          </w:p>
        </w:tc>
      </w:tr>
      <w:tr>
        <w:tc>
          <w:tcPr>
            <w:tcW w:type="dxa" w:w="920"/>
          </w:tcPr>
          <w:p>
            <w:pPr>
              <w:spacing w:after="0"/>
            </w:pPr>
            <w:r>
              <w:rPr>
                <w:sz w:val="19"/>
              </w:rPr>
              <w:t>2</w:t>
            </w:r>
          </w:p>
        </w:tc>
        <w:tc>
          <w:tcPr>
            <w:tcW w:type="dxa" w:w="920"/>
          </w:tcPr>
          <w:p>
            <w:pPr>
              <w:spacing w:after="0"/>
            </w:pPr>
            <w:r>
              <w:rPr>
                <w:sz w:val="19"/>
              </w:rPr>
              <w:t>day 2</w:t>
            </w:r>
          </w:p>
        </w:tc>
        <w:tc>
          <w:tcPr>
            <w:tcW w:type="dxa" w:w="920"/>
          </w:tcPr>
          <w:p>
            <w:pPr>
              <w:spacing w:after="0"/>
            </w:pPr>
            <w:r>
              <w:rPr>
                <w:sz w:val="19"/>
              </w:rPr>
              <w:t>Email</w:t>
            </w:r>
          </w:p>
        </w:tc>
        <w:tc>
          <w:tcPr>
            <w:tcW w:type="dxa" w:w="5098"/>
          </w:tcPr>
          <w:p>
            <w:pPr>
              <w:spacing w:after="0"/>
            </w:pPr>
            <w:r>
              <w:rPr>
                <w:sz w:val="19"/>
              </w:rPr>
              <w:t>"New to casino?": how the lobby works, demo games, how to set casino limits separately</w:t>
            </w:r>
          </w:p>
        </w:tc>
        <w:tc>
          <w:tcPr>
            <w:tcW w:type="dxa" w:w="1554"/>
          </w:tcPr>
          <w:p>
            <w:pPr>
              <w:spacing w:after="0"/>
            </w:pPr>
            <w:r>
              <w:rPr>
                <w:sz w:val="19"/>
              </w:rPr>
              <w:t>no casino bet</w:t>
            </w:r>
          </w:p>
        </w:tc>
      </w:tr>
      <w:tr>
        <w:tc>
          <w:tcPr>
            <w:tcW w:type="dxa" w:w="920"/>
          </w:tcPr>
          <w:p>
            <w:pPr>
              <w:spacing w:after="0"/>
            </w:pPr>
            <w:r>
              <w:rPr>
                <w:sz w:val="19"/>
              </w:rPr>
              <w:t>3</w:t>
            </w:r>
          </w:p>
        </w:tc>
        <w:tc>
          <w:tcPr>
            <w:tcW w:type="dxa" w:w="920"/>
          </w:tcPr>
          <w:p>
            <w:pPr>
              <w:spacing w:after="0"/>
            </w:pPr>
            <w:r>
              <w:rPr>
                <w:sz w:val="19"/>
              </w:rPr>
              <w:t>day 5</w:t>
            </w:r>
          </w:p>
        </w:tc>
        <w:tc>
          <w:tcPr>
            <w:tcW w:type="dxa" w:w="920"/>
          </w:tcPr>
          <w:p>
            <w:pPr>
              <w:spacing w:after="0"/>
            </w:pPr>
            <w:r>
              <w:rPr>
                <w:sz w:val="19"/>
              </w:rPr>
              <w:t>Push</w:t>
            </w:r>
          </w:p>
        </w:tc>
        <w:tc>
          <w:tcPr>
            <w:tcW w:type="dxa" w:w="5098"/>
          </w:tcPr>
          <w:p>
            <w:pPr>
              <w:spacing w:after="0"/>
            </w:pPr>
            <w:r>
              <w:rPr>
                <w:sz w:val="19"/>
              </w:rPr>
              <w:t>A few casino-only free spins, simple terms, separate from any sports offers</w:t>
            </w:r>
          </w:p>
        </w:tc>
        <w:tc>
          <w:tcPr>
            <w:tcW w:type="dxa" w:w="1554"/>
          </w:tcPr>
          <w:p>
            <w:pPr>
              <w:spacing w:after="0"/>
            </w:pPr>
            <w:r>
              <w:rPr>
                <w:sz w:val="19"/>
              </w:rPr>
              <w:t>no casino bet, RG Low, no abuse flag</w:t>
            </w:r>
          </w:p>
        </w:tc>
      </w:tr>
      <w:tr>
        <w:tc>
          <w:tcPr>
            <w:tcW w:type="dxa" w:w="920"/>
          </w:tcPr>
          <w:p>
            <w:pPr>
              <w:spacing w:after="0"/>
            </w:pPr>
            <w:r>
              <w:rPr>
                <w:sz w:val="19"/>
              </w:rPr>
              <w:t>4</w:t>
            </w:r>
          </w:p>
        </w:tc>
        <w:tc>
          <w:tcPr>
            <w:tcW w:type="dxa" w:w="920"/>
          </w:tcPr>
          <w:p>
            <w:pPr>
              <w:spacing w:after="0"/>
            </w:pPr>
            <w:r>
              <w:rPr>
                <w:sz w:val="19"/>
              </w:rPr>
              <w:t>day 14</w:t>
            </w:r>
          </w:p>
        </w:tc>
        <w:tc>
          <w:tcPr>
            <w:tcW w:type="dxa" w:w="920"/>
          </w:tcPr>
          <w:p>
            <w:pPr>
              <w:spacing w:after="0"/>
            </w:pPr>
            <w:r>
              <w:rPr>
                <w:sz w:val="19"/>
              </w:rPr>
              <w:t>Exit</w:t>
            </w:r>
          </w:p>
        </w:tc>
        <w:tc>
          <w:tcPr>
            <w:tcW w:type="dxa" w:w="5098"/>
          </w:tcPr>
          <w:p>
            <w:pPr>
              <w:spacing w:after="0"/>
            </w:pPr>
            <w:r>
              <w:rPr>
                <w:sz w:val="19"/>
              </w:rPr>
              <w:t>Converted players move to normal communication that takes the new product into account</w:t>
            </w:r>
          </w:p>
        </w:tc>
        <w:tc>
          <w:tcPr>
            <w:tcW w:type="dxa" w:w="1554"/>
          </w:tcPr>
          <w:p>
            <w:pPr>
              <w:spacing w:after="0"/>
            </w:pPr>
          </w:p>
        </w:tc>
      </w:tr>
    </w:tbl>
    <w:p>
      <w:pPr>
        <w:spacing w:after="40"/>
      </w:pPr>
    </w:p>
    <w:p>
      <w:pPr>
        <w:pStyle w:val="Heading2"/>
      </w:pPr>
      <w:r/>
      <w:r>
        <w:rPr/>
        <w:t>Offers</w:t>
      </w:r>
    </w:p>
    <w:p>
      <w:pPr>
        <w:tabs>
          <w:tab w:pos="397" w:val="left"/>
        </w:tabs>
        <w:spacing w:after="40"/>
        <w:ind w:left="397" w:hanging="283"/>
      </w:pPr>
      <w:r>
        <w:t>•</w:t>
        <w:tab/>
      </w:r>
      <w:r>
        <w:rPr/>
        <w:t>One product per incentive. Free spins are a casino-only offer, with no shared sports and casino bonus.</w:t>
      </w:r>
    </w:p>
    <w:p>
      <w:pPr>
        <w:tabs>
          <w:tab w:pos="397" w:val="left"/>
        </w:tabs>
        <w:spacing w:after="40"/>
        <w:ind w:left="397" w:hanging="283"/>
      </w:pPr>
      <w:r>
        <w:t>•</w:t>
        <w:tab/>
      </w:r>
      <w:r>
        <w:rPr/>
        <w:t>The incentive only at step 3, and only for those who didn't try casino after the content.</w:t>
      </w:r>
    </w:p>
    <w:p>
      <w:pPr>
        <w:tabs>
          <w:tab w:pos="397" w:val="left"/>
        </w:tabs>
        <w:spacing w:after="40"/>
        <w:ind w:left="397" w:hanging="283"/>
      </w:pPr>
      <w:r>
        <w:t>•</w:t>
        <w:tab/>
      </w:r>
      <w:r>
        <w:rPr/>
        <w:t>Small size and a win cap: the point is to let them try.</w:t>
      </w:r>
    </w:p>
    <w:p>
      <w:pPr>
        <w:pStyle w:val="Heading2"/>
      </w:pPr>
      <w:r/>
      <w:r>
        <w:rPr/>
        <w:t>Measurement</w:t>
      </w:r>
    </w:p>
    <w:tbl>
      <w:tblPr>
        <w:tblStyle w:val="TableGrid"/>
        <w:tblW w:type="auto" w:w="0"/>
        <w:jc w:val="center"/>
        <w:tblLayout w:type="fixed"/>
        <w:tblLook w:firstColumn="1" w:firstRow="1" w:lastColumn="0" w:lastRow="0" w:noHBand="0" w:noVBand="1" w:val="04A0"/>
      </w:tblPr>
      <w:tblGrid>
        <w:gridCol w:w="6185"/>
        <w:gridCol w:w="3226"/>
      </w:tblGrid>
      <w:tr>
        <w:tc>
          <w:tcPr>
            <w:tcW w:type="dxa" w:w="6185"/>
            <w:shd w:val="clear" w:color="auto" w:fill="DCE4EE"/>
          </w:tcPr>
          <w:p>
            <w:pPr>
              <w:spacing w:after="0"/>
            </w:pPr>
            <w:r>
              <w:rPr>
                <w:b/>
                <w:sz w:val="19"/>
              </w:rPr>
              <w:t>Metric</w:t>
            </w:r>
          </w:p>
        </w:tc>
        <w:tc>
          <w:tcPr>
            <w:tcW w:type="dxa" w:w="3226"/>
            <w:shd w:val="clear" w:color="auto" w:fill="DCE4EE"/>
          </w:tcPr>
          <w:p>
            <w:pPr>
              <w:spacing w:after="0"/>
            </w:pPr>
            <w:r>
              <w:rPr>
                <w:b/>
                <w:sz w:val="19"/>
              </w:rPr>
              <w:t>What it shows</w:t>
            </w:r>
          </w:p>
        </w:tc>
      </w:tr>
      <w:tr>
        <w:tc>
          <w:tcPr>
            <w:tcW w:type="dxa" w:w="6185"/>
          </w:tcPr>
          <w:p>
            <w:pPr>
              <w:spacing w:after="0"/>
            </w:pPr>
            <w:r>
              <w:rPr>
                <w:sz w:val="19"/>
              </w:rPr>
            </w:r>
            <w:r>
              <w:rPr>
                <w:b/>
                <w:sz w:val="19"/>
              </w:rPr>
              <w:t>Primary:</w:t>
            </w:r>
            <w:r>
              <w:rPr>
                <w:sz w:val="19"/>
              </w:rPr>
              <w:t xml:space="preserve"> first casino bet within 14 days</w:t>
            </w:r>
          </w:p>
        </w:tc>
        <w:tc>
          <w:tcPr>
            <w:tcW w:type="dxa" w:w="3226"/>
          </w:tcPr>
          <w:p>
            <w:pPr>
              <w:spacing w:after="0"/>
            </w:pPr>
            <w:r>
              <w:rPr>
                <w:sz w:val="19"/>
              </w:rPr>
              <w:t>whether the introduction works</w:t>
            </w:r>
          </w:p>
        </w:tc>
      </w:tr>
      <w:tr>
        <w:tc>
          <w:tcPr>
            <w:tcW w:type="dxa" w:w="6185"/>
          </w:tcPr>
          <w:p>
            <w:pPr>
              <w:spacing w:after="0"/>
            </w:pPr>
            <w:r>
              <w:rPr>
                <w:sz w:val="19"/>
              </w:rPr>
            </w:r>
            <w:r>
              <w:rPr>
                <w:b/>
                <w:sz w:val="19"/>
              </w:rPr>
              <w:t>Decision metric:</w:t>
            </w:r>
            <w:r>
              <w:rPr>
                <w:sz w:val="19"/>
              </w:rPr>
              <w:t xml:space="preserve"> total NGR per player (sports + casino) over 60 days, test vs control</w:t>
            </w:r>
          </w:p>
        </w:tc>
        <w:tc>
          <w:tcPr>
            <w:tcW w:type="dxa" w:w="3226"/>
          </w:tcPr>
          <w:p>
            <w:pPr>
              <w:spacing w:after="0"/>
            </w:pPr>
            <w:r>
              <w:rPr>
                <w:sz w:val="19"/>
              </w:rPr>
              <w:t>whether the campaign creates value</w:t>
            </w:r>
          </w:p>
        </w:tc>
      </w:tr>
      <w:tr>
        <w:tc>
          <w:tcPr>
            <w:tcW w:type="dxa" w:w="6185"/>
          </w:tcPr>
          <w:p>
            <w:pPr>
              <w:spacing w:after="0"/>
            </w:pPr>
            <w:r>
              <w:rPr>
                <w:sz w:val="19"/>
              </w:rPr>
              <w:t>Sports NGR on its own, test vs control</w:t>
            </w:r>
          </w:p>
        </w:tc>
        <w:tc>
          <w:tcPr>
            <w:tcW w:type="dxa" w:w="3226"/>
          </w:tcPr>
          <w:p>
            <w:pPr>
              <w:spacing w:after="0"/>
            </w:pPr>
            <w:r>
              <w:rPr>
                <w:sz w:val="19"/>
              </w:rPr>
              <w:t>whether there's cannibalisation</w:t>
            </w:r>
          </w:p>
        </w:tc>
      </w:tr>
      <w:tr>
        <w:tc>
          <w:tcPr>
            <w:tcW w:type="dxa" w:w="6185"/>
          </w:tcPr>
          <w:p>
            <w:pPr>
              <w:spacing w:after="0"/>
            </w:pPr>
            <w:r>
              <w:rPr>
                <w:sz w:val="19"/>
              </w:rPr>
            </w:r>
            <w:r>
              <w:rPr>
                <w:b/>
                <w:sz w:val="19"/>
              </w:rPr>
              <w:t>Guardrails:</w:t>
            </w:r>
            <w:r>
              <w:rPr>
                <w:sz w:val="19"/>
              </w:rPr>
              <w:t xml:space="preserve"> moves between RG tiers among converted players, opt-outs from casino marketing</w:t>
            </w:r>
          </w:p>
        </w:tc>
        <w:tc>
          <w:tcPr>
            <w:tcW w:type="dxa" w:w="3226"/>
          </w:tcPr>
          <w:p>
            <w:pPr>
              <w:spacing w:after="0"/>
            </w:pPr>
            <w:r>
              <w:rPr>
                <w:sz w:val="19"/>
              </w:rPr>
              <w:t>harm and annoyance</w:t>
            </w:r>
          </w:p>
        </w:tc>
      </w:tr>
    </w:tbl>
    <w:p>
      <w:pPr>
        <w:spacing w:after="40"/>
      </w:pPr>
    </w:p>
    <w:p>
      <w:pPr>
        <w:tabs>
          <w:tab w:pos="397" w:val="left"/>
        </w:tabs>
        <w:spacing w:after="40"/>
        <w:ind w:left="397" w:hanging="283"/>
      </w:pPr>
      <w:r>
        <w:t>•</w:t>
        <w:tab/>
      </w:r>
      <w:r>
        <w:rPr/>
      </w:r>
      <w:r>
        <w:rPr>
          <w:b/>
        </w:rPr>
        <w:t>How to read it:</w:t>
      </w:r>
      <w:r>
        <w:rPr/>
        <w:t xml:space="preserve"> if casino NGR went up by exactly as much as sports went down, the campaign created nothing.</w:t>
      </w:r>
    </w:p>
    <w:p>
      <w:pPr>
        <w:tabs>
          <w:tab w:pos="397" w:val="left"/>
        </w:tabs>
        <w:spacing w:after="40"/>
        <w:ind w:left="397" w:hanging="283"/>
      </w:pPr>
      <w:r>
        <w:t>•</w:t>
        <w:tab/>
      </w:r>
      <w:r>
        <w:rPr/>
      </w:r>
      <w:r>
        <w:rPr>
          <w:b/>
        </w:rPr>
        <w:t>20% holdout</w:t>
      </w:r>
      <w:r>
        <w:rPr/>
        <w:t>, the decision is made no earlier than 60 days after the wave.</w:t>
      </w:r>
    </w:p>
    <w:p>
      <w:pPr>
        <w:tabs>
          <w:tab w:pos="397" w:val="left"/>
        </w:tabs>
        <w:spacing w:after="40"/>
        <w:ind w:left="397" w:hanging="283"/>
      </w:pPr>
      <w:r>
        <w:t>•</w:t>
        <w:tab/>
      </w:r>
      <w:r>
        <w:rPr/>
      </w:r>
      <w:r>
        <w:rPr>
          <w:b/>
        </w:rPr>
        <w:t>Reporting:</w:t>
      </w:r>
      <w:r>
        <w:rPr/>
        <w:t xml:space="preserve"> conversion by wave weekly, money and RG after 60 days.</w:t>
      </w:r>
    </w:p>
    <w:p>
      <w:r>
        <w:br w:type="page"/>
      </w:r>
    </w:p>
    <w:p>
      <w:pPr>
        <w:pStyle w:val="Heading2"/>
      </w:pPr>
      <w:r>
        <w:t>Appendix: workflow in Customer.io</w:t>
      </w:r>
    </w:p>
    <w:p>
      <w:r>
        <w:drawing>
          <wp:inline xmlns:a="http://schemas.openxmlformats.org/drawingml/2006/main" xmlns:pic="http://schemas.openxmlformats.org/drawingml/2006/picture">
            <wp:extent cx="4585781" cy="8351999"/>
            <wp:docPr id="1" name="Picture 1"/>
            <wp:cNvGraphicFramePr>
              <a:graphicFrameLocks noChangeAspect="1"/>
            </wp:cNvGraphicFramePr>
            <a:graphic>
              <a:graphicData uri="http://schemas.openxmlformats.org/drawingml/2006/picture">
                <pic:pic>
                  <pic:nvPicPr>
                    <pic:cNvPr id="0" name="06-sportsbook-to-casino-cross-sell.png"/>
                    <pic:cNvPicPr/>
                  </pic:nvPicPr>
                  <pic:blipFill>
                    <a:blip r:embed="rId9"/>
                    <a:stretch>
                      <a:fillRect/>
                    </a:stretch>
                  </pic:blipFill>
                  <pic:spPr>
                    <a:xfrm>
                      <a:off x="0" y="0"/>
                      <a:ext cx="4585781" cy="8351999"/>
                    </a:xfrm>
                    <a:prstGeom prst="rect"/>
                  </pic:spPr>
                </pic:pic>
              </a:graphicData>
            </a:graphic>
          </wp:inline>
        </w:drawing>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