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Кейс 01 - CRM-команда шлёт всем одно и то же промо. Сегментировать базу</w:t>
      </w:r>
    </w:p>
    <w:p>
      <w:pPr>
        <w:spacing w:before="80" w:after="160"/>
        <w:ind w:left="227"/>
        <w:pBdr>
          <w:left w:val="single" w:sz="18" w:space="8" w:color="1F3A5F"/>
        </w:pBdr>
        <w:shd w:val="clear" w:color="auto" w:fill="F1F4F8"/>
      </w:pPr>
      <w:r>
        <w:rPr/>
      </w:r>
      <w:r>
        <w:rPr>
          <w:b/>
        </w:rPr>
        <w:t>Кратко:</w:t>
      </w:r>
      <w:r>
        <w:rPr/>
        <w:t xml:space="preserve"> оценить каждого депозитора по давности, частоте и сумме. Далее собрать их в несколько сегментов, понятных для команды. Далее назначить каждому сегменту свою цель, политику стимулов и защитную метрику - чтобы бонусные деньги прицельно шли туда, где они могут изменить поведение игроков.</w:t>
      </w:r>
    </w:p>
    <w:p>
      <w:pPr>
        <w:pStyle w:val="Heading2"/>
      </w:pPr>
      <w:r/>
      <w:r>
        <w:rPr/>
        <w:t>Ситуация</w:t>
      </w:r>
    </w:p>
    <w:p>
      <w:r>
        <w:rPr>
          <w:i/>
        </w:rPr>
        <w:t>Условные цифры для задачи, не реальные данные.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Онлайн-казино, около 10 000 депозиторов за последний год.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Каждую пятницу все недавние депозиторы получают один и тот же reload-бонус: 50% до €50.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Поступила информация, что примерно 5% игроков приносят около трёх четвертей NGR, а стоимость бонусов продолжает расти.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Руководитель CRM просит сегментацию, которой команда реально сможет пользоваться.</w:t>
      </w:r>
    </w:p>
    <w:p>
      <w:pPr>
        <w:pStyle w:val="Heading2"/>
      </w:pPr>
      <w:r/>
      <w:r>
        <w:rPr/>
        <w:t>Как я к этому подхожу</w:t>
      </w:r>
    </w:p>
    <w:p>
      <w:r>
        <w:rPr/>
        <w:t xml:space="preserve">Прежде всего определяем, какое решение должна поддерживать сегментация: </w:t>
      </w:r>
      <w:r>
        <w:rPr>
          <w:i/>
        </w:rPr>
        <w:t>кто какой контакт и какой стимул должен получать.</w:t>
      </w:r>
    </w:p>
    <w:p>
      <w:r>
        <w:rPr/>
        <w:t>В описанном случае сегментов должно быть немного, они должны быть стабильны с течением времени, понятны команде и привязаны к действию.</w:t>
      </w:r>
    </w:p>
    <w:p>
      <w:r>
        <w:rPr/>
        <w:t>Для этого подходит RFM: Recency, Frequency, Monetary.</w:t>
      </w:r>
    </w:p>
    <w:p>
      <w:r>
        <w:rPr/>
        <w:t>В платформах вроде Optimove похожая логика уже встроена: сначала этап жизненного цикла, а внутри него деление по поведению и ценности.</w:t>
      </w:r>
    </w:p>
    <w:p>
      <w:pPr>
        <w:pStyle w:val="Heading2"/>
      </w:pPr>
      <w:r/>
      <w:r>
        <w:rPr/>
        <w:t>Метод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2"/>
        <w:gridCol w:w="3249"/>
        <w:gridCol w:w="3861"/>
      </w:tblGrid>
      <w:tr>
        <w:tc>
          <w:tcPr>
            <w:tcW w:type="dxa" w:w="2302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Измерение</w:t>
            </w:r>
          </w:p>
        </w:tc>
        <w:tc>
          <w:tcPr>
            <w:tcW w:type="dxa" w:w="3249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Вопрос</w:t>
            </w:r>
          </w:p>
        </w:tc>
        <w:tc>
          <w:tcPr>
            <w:tcW w:type="dxa" w:w="3861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Оценка</w:t>
            </w:r>
          </w:p>
        </w:tc>
      </w:tr>
      <w:tr>
        <w:tc>
          <w:tcPr>
            <w:tcW w:type="dxa" w:w="230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</w:t>
            </w:r>
            <w:r>
              <w:rPr>
                <w:sz w:val="19"/>
              </w:rPr>
              <w:t>ecency (давность)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9"/>
              </w:rPr>
              <w:t>Сколько прошло с последнего депозита?</w:t>
            </w:r>
          </w:p>
        </w:tc>
        <w:tc>
          <w:tcPr>
            <w:tcW w:type="dxa" w:w="3861"/>
          </w:tcPr>
          <w:p>
            <w:pPr>
              <w:spacing w:after="0"/>
            </w:pPr>
            <w:r>
              <w:rPr>
                <w:sz w:val="19"/>
              </w:rPr>
              <w:t>бизнес-пороги: ≤7 дней -&gt; 5, ≤30 -&gt; 4, ≤60 -&gt; 3, ≤120 -&gt; 2, больше -&gt; 1</w:t>
            </w:r>
          </w:p>
        </w:tc>
      </w:tr>
      <w:tr>
        <w:tc>
          <w:tcPr>
            <w:tcW w:type="dxa" w:w="230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</w:t>
            </w:r>
            <w:r>
              <w:rPr>
                <w:sz w:val="19"/>
              </w:rPr>
              <w:t>requency (частота)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9"/>
              </w:rPr>
              <w:t>Сколько депозитов за последние 180 дней?</w:t>
            </w:r>
          </w:p>
        </w:tc>
        <w:tc>
          <w:tcPr>
            <w:tcW w:type="dxa" w:w="3861"/>
          </w:tcPr>
          <w:p>
            <w:pPr>
              <w:spacing w:after="0"/>
            </w:pPr>
            <w:r>
              <w:rPr>
                <w:sz w:val="19"/>
              </w:rPr>
              <w:t>пороги: 20+ -&gt; 5, 8+ -&gt; 4, 4+ -&gt; 3, 2+ -&gt; 2, 1 -&gt; 1</w:t>
            </w:r>
          </w:p>
        </w:tc>
      </w:tr>
      <w:tr>
        <w:tc>
          <w:tcPr>
            <w:tcW w:type="dxa" w:w="230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</w:t>
            </w:r>
            <w:r>
              <w:rPr>
                <w:sz w:val="19"/>
              </w:rPr>
              <w:t>onetary (сумма)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9"/>
              </w:rPr>
              <w:t>Сколько внесено за 180 дней?</w:t>
            </w:r>
          </w:p>
        </w:tc>
        <w:tc>
          <w:tcPr>
            <w:tcW w:type="dxa" w:w="3861"/>
          </w:tcPr>
          <w:p>
            <w:pPr>
              <w:spacing w:after="0"/>
            </w:pPr>
            <w:r>
              <w:rPr>
                <w:sz w:val="19"/>
              </w:rPr>
              <w:t>квинтили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Почему для R и F пороги, а не квинтили.</w:t>
      </w:r>
      <w:r>
        <w:rPr/>
        <w:t xml:space="preserve"> Классический RFM делит базу на пять равных групп. Это ломается, когда у многих игроков одинаковое значение: тысячи игроков ровно с одним депозитом случайно разрежутся по разным баллам. Бизнес-пороги стабильны, их легко объяснить ("нет депозита 30 дней"), и они совпадают с тем, как пишутся CRM-правила. Для M, где значения сильно разбросаны, квинтили работают нормально.</w:t>
      </w:r>
    </w:p>
    <w:p>
      <w:r>
        <w:rPr/>
      </w:r>
      <w:r>
        <w:rPr>
          <w:b/>
        </w:rPr>
        <w:t>Почему M по депозитам, а не по NGR.</w:t>
      </w:r>
      <w:r>
        <w:rPr/>
        <w:t xml:space="preserve"> NGR зависит от везения: у игрока, который только что крупно выиграл, NGR за период отрицательный, даже если он ценный клиент. Депозиты отражают намерение и бюджет. NGR смотрю отдельно, рядом с сегментами, в сам балл его не включаю. Два игрока с депозитами €50 и €5 000 требуют совсем разного подхода.</w:t>
      </w:r>
    </w:p>
    <w:p>
      <w:pPr>
        <w:pStyle w:val="Heading2"/>
      </w:pPr>
      <w:r/>
      <w:r>
        <w:rPr/>
        <w:t>Что я бы делал с каждым сегментом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3"/>
        <w:gridCol w:w="1594"/>
        <w:gridCol w:w="1413"/>
        <w:gridCol w:w="3172"/>
        <w:gridCol w:w="2028"/>
      </w:tblGrid>
      <w:tr>
        <w:tc>
          <w:tcPr>
            <w:tcW w:type="dxa" w:w="1203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Сегмент</w:t>
            </w:r>
          </w:p>
        </w:tc>
        <w:tc>
          <w:tcPr>
            <w:tcW w:type="dxa" w:w="1594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Кто</w:t>
            </w:r>
          </w:p>
        </w:tc>
        <w:tc>
          <w:tcPr>
            <w:tcW w:type="dxa" w:w="1413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Цель</w:t>
            </w:r>
          </w:p>
        </w:tc>
        <w:tc>
          <w:tcPr>
            <w:tcW w:type="dxa" w:w="3172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Что делаем</w:t>
            </w:r>
          </w:p>
        </w:tc>
        <w:tc>
          <w:tcPr>
            <w:tcW w:type="dxa" w:w="2028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Защитная метрика</w:t>
            </w:r>
          </w:p>
        </w:tc>
      </w:tr>
      <w:tr>
        <w:tc>
          <w:tcPr>
            <w:tcW w:type="dxa" w:w="1203"/>
          </w:tcPr>
          <w:p>
            <w:pPr>
              <w:spacing w:after="0"/>
            </w:pPr>
            <w:r>
              <w:rPr>
                <w:sz w:val="19"/>
              </w:rPr>
              <w:t>Champions</w:t>
            </w:r>
          </w:p>
        </w:tc>
        <w:tc>
          <w:tcPr>
            <w:tcW w:type="dxa" w:w="1594"/>
          </w:tcPr>
          <w:p>
            <w:pPr>
              <w:spacing w:after="0"/>
            </w:pPr>
            <w:r>
              <w:rPr>
                <w:sz w:val="19"/>
              </w:rPr>
              <w:t>недавние и частые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защитить, отметить</w:t>
            </w:r>
          </w:p>
        </w:tc>
        <w:tc>
          <w:tcPr>
            <w:tcW w:type="dxa" w:w="3172"/>
          </w:tcPr>
          <w:p>
            <w:pPr>
              <w:spacing w:after="0"/>
            </w:pPr>
            <w:r>
              <w:rPr>
                <w:sz w:val="19"/>
              </w:rPr>
              <w:t xml:space="preserve">сервис, ранний доступ, VIP-контакт; </w:t>
            </w:r>
            <w:r>
              <w:rPr>
                <w:b/>
                <w:sz w:val="19"/>
              </w:rPr>
              <w:t>никаких бонусов всем подряд</w:t>
            </w:r>
            <w:r>
              <w:rPr>
                <w:sz w:val="19"/>
              </w:rPr>
            </w:r>
          </w:p>
        </w:tc>
        <w:tc>
          <w:tcPr>
            <w:tcW w:type="dxa" w:w="2028"/>
          </w:tcPr>
          <w:p>
            <w:pPr>
              <w:spacing w:after="0"/>
            </w:pPr>
            <w:r>
              <w:rPr>
                <w:sz w:val="19"/>
              </w:rPr>
              <w:t>любая награда только через холдаут</w:t>
            </w:r>
          </w:p>
        </w:tc>
      </w:tr>
      <w:tr>
        <w:tc>
          <w:tcPr>
            <w:tcW w:type="dxa" w:w="1203"/>
          </w:tcPr>
          <w:p>
            <w:pPr>
              <w:spacing w:after="0"/>
            </w:pPr>
            <w:r>
              <w:rPr>
                <w:sz w:val="19"/>
              </w:rPr>
              <w:t>Loyal</w:t>
            </w:r>
          </w:p>
        </w:tc>
        <w:tc>
          <w:tcPr>
            <w:tcW w:type="dxa" w:w="1594"/>
          </w:tcPr>
          <w:p>
            <w:pPr>
              <w:spacing w:after="0"/>
            </w:pPr>
            <w:r>
              <w:rPr>
                <w:sz w:val="19"/>
              </w:rPr>
              <w:t>частые, чуть "менее недавние"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повысить частоту</w:t>
            </w:r>
          </w:p>
        </w:tc>
        <w:tc>
          <w:tcPr>
            <w:tcW w:type="dxa" w:w="3172"/>
          </w:tcPr>
          <w:p>
            <w:pPr>
              <w:spacing w:after="0"/>
            </w:pPr>
            <w:r>
              <w:rPr>
                <w:sz w:val="19"/>
              </w:rPr>
              <w:t>персональный контент; недорогие награды только после теста</w:t>
            </w:r>
          </w:p>
        </w:tc>
        <w:tc>
          <w:tcPr>
            <w:tcW w:type="dxa" w:w="2028"/>
          </w:tcPr>
          <w:p>
            <w:pPr>
              <w:spacing w:after="0"/>
            </w:pPr>
            <w:r>
              <w:rPr>
                <w:sz w:val="19"/>
              </w:rPr>
              <w:t>раннее предупреждение о замедлении</w:t>
            </w:r>
          </w:p>
        </w:tc>
      </w:tr>
      <w:tr>
        <w:tc>
          <w:tcPr>
            <w:tcW w:type="dxa" w:w="1203"/>
          </w:tcPr>
          <w:p>
            <w:pPr>
              <w:spacing w:after="0"/>
            </w:pPr>
            <w:r>
              <w:rPr>
                <w:sz w:val="19"/>
              </w:rPr>
              <w:t>Potential loyalists</w:t>
            </w:r>
          </w:p>
        </w:tc>
        <w:tc>
          <w:tcPr>
            <w:tcW w:type="dxa" w:w="1594"/>
          </w:tcPr>
          <w:p>
            <w:pPr>
              <w:spacing w:after="0"/>
            </w:pPr>
            <w:r>
              <w:rPr>
                <w:sz w:val="19"/>
              </w:rPr>
              <w:t>недавние, средняя частота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выработать привычку</w:t>
            </w:r>
          </w:p>
        </w:tc>
        <w:tc>
          <w:tcPr>
            <w:tcW w:type="dxa" w:w="3172"/>
          </w:tcPr>
          <w:p>
            <w:pPr>
              <w:spacing w:after="0"/>
            </w:pPr>
            <w:r>
              <w:rPr>
                <w:sz w:val="19"/>
              </w:rPr>
              <w:t>миссии, серии, рекомендации игр</w:t>
            </w:r>
          </w:p>
        </w:tc>
        <w:tc>
          <w:tcPr>
            <w:tcW w:type="dxa" w:w="2028"/>
          </w:tcPr>
          <w:p>
            <w:pPr>
              <w:spacing w:after="0"/>
            </w:pPr>
            <w:r>
              <w:rPr>
                <w:sz w:val="19"/>
              </w:rPr>
              <w:t>не больше одного промо в неделю</w:t>
            </w:r>
          </w:p>
        </w:tc>
      </w:tr>
      <w:tr>
        <w:tc>
          <w:tcPr>
            <w:tcW w:type="dxa" w:w="1203"/>
          </w:tcPr>
          <w:p>
            <w:pPr>
              <w:spacing w:after="0"/>
            </w:pPr>
            <w:r>
              <w:rPr>
                <w:sz w:val="19"/>
              </w:rPr>
              <w:t>New / promising</w:t>
            </w:r>
          </w:p>
        </w:tc>
        <w:tc>
          <w:tcPr>
            <w:tcW w:type="dxa" w:w="1594"/>
          </w:tcPr>
          <w:p>
            <w:pPr>
              <w:spacing w:after="0"/>
            </w:pPr>
            <w:r>
              <w:rPr>
                <w:sz w:val="19"/>
              </w:rPr>
              <w:t>первые депозиты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второй депозит</w:t>
            </w:r>
          </w:p>
        </w:tc>
        <w:tc>
          <w:tcPr>
            <w:tcW w:type="dxa" w:w="3172"/>
          </w:tcPr>
          <w:p>
            <w:pPr>
              <w:spacing w:after="0"/>
            </w:pPr>
            <w:r>
              <w:rPr>
                <w:sz w:val="19"/>
              </w:rPr>
              <w:t>сценарий после FTD</w:t>
            </w:r>
          </w:p>
        </w:tc>
        <w:tc>
          <w:tcPr>
            <w:tcW w:type="dxa" w:w="2028"/>
          </w:tcPr>
          <w:p>
            <w:pPr>
              <w:spacing w:after="0"/>
            </w:pPr>
            <w:r>
              <w:rPr>
                <w:sz w:val="19"/>
              </w:rPr>
              <w:t>никаких промо до KYC</w:t>
            </w:r>
          </w:p>
        </w:tc>
      </w:tr>
      <w:tr>
        <w:tc>
          <w:tcPr>
            <w:tcW w:type="dxa" w:w="1203"/>
          </w:tcPr>
          <w:p>
            <w:pPr>
              <w:spacing w:after="0"/>
            </w:pPr>
            <w:r>
              <w:rPr>
                <w:sz w:val="19"/>
              </w:rPr>
              <w:t>Need attention / about to sleep</w:t>
            </w:r>
          </w:p>
        </w:tc>
        <w:tc>
          <w:tcPr>
            <w:tcW w:type="dxa" w:w="1594"/>
          </w:tcPr>
          <w:p>
            <w:pPr>
              <w:spacing w:after="0"/>
            </w:pPr>
            <w:r>
              <w:rPr>
                <w:sz w:val="19"/>
              </w:rPr>
              <w:t>начинают остывать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не дать уйти</w:t>
            </w:r>
          </w:p>
        </w:tc>
        <w:tc>
          <w:tcPr>
            <w:tcW w:type="dxa" w:w="3172"/>
          </w:tcPr>
          <w:p>
            <w:pPr>
              <w:spacing w:after="0"/>
            </w:pPr>
            <w:r>
              <w:rPr>
                <w:sz w:val="19"/>
              </w:rPr>
              <w:t>сначала контент, лёгкий оффер, если контент не сработал</w:t>
            </w:r>
          </w:p>
        </w:tc>
        <w:tc>
          <w:tcPr>
            <w:tcW w:type="dxa" w:w="2028"/>
          </w:tcPr>
          <w:p>
            <w:pPr>
              <w:spacing w:after="0"/>
            </w:pPr>
            <w:r>
              <w:rPr>
                <w:sz w:val="19"/>
              </w:rPr>
              <w:t>исключать высокий RG-риск</w:t>
            </w:r>
          </w:p>
        </w:tc>
      </w:tr>
      <w:tr>
        <w:tc>
          <w:tcPr>
            <w:tcW w:type="dxa" w:w="1203"/>
          </w:tcPr>
          <w:p>
            <w:pPr>
              <w:spacing w:after="0"/>
            </w:pPr>
            <w:r>
              <w:rPr>
                <w:sz w:val="19"/>
              </w:rPr>
              <w:t>At risk</w:t>
            </w:r>
          </w:p>
        </w:tc>
        <w:tc>
          <w:tcPr>
            <w:tcW w:type="dxa" w:w="1594"/>
          </w:tcPr>
          <w:p>
            <w:pPr>
              <w:spacing w:after="0"/>
            </w:pPr>
            <w:r>
              <w:rPr>
                <w:sz w:val="19"/>
              </w:rPr>
              <w:t>раньше частые, сейчас тихие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вернуть ценность</w:t>
            </w:r>
          </w:p>
        </w:tc>
        <w:tc>
          <w:tcPr>
            <w:tcW w:type="dxa" w:w="3172"/>
          </w:tcPr>
          <w:p>
            <w:pPr>
              <w:spacing w:after="0"/>
            </w:pPr>
            <w:r>
              <w:rPr>
                <w:sz w:val="19"/>
              </w:rPr>
              <w:t>персональный оффер с дедлайном, только средняя и высокая ценность</w:t>
            </w:r>
          </w:p>
        </w:tc>
        <w:tc>
          <w:tcPr>
            <w:tcW w:type="dxa" w:w="2028"/>
          </w:tcPr>
          <w:p>
            <w:pPr>
              <w:spacing w:after="0"/>
            </w:pPr>
            <w:r>
              <w:rPr>
                <w:sz w:val="19"/>
              </w:rPr>
              <w:t>обязательный холдаут</w:t>
            </w:r>
          </w:p>
        </w:tc>
      </w:tr>
      <w:tr>
        <w:tc>
          <w:tcPr>
            <w:tcW w:type="dxa" w:w="1203"/>
          </w:tcPr>
          <w:p>
            <w:pPr>
              <w:spacing w:after="0"/>
            </w:pPr>
            <w:r>
              <w:rPr>
                <w:sz w:val="19"/>
              </w:rPr>
              <w:t>Can't lose them</w:t>
            </w:r>
          </w:p>
        </w:tc>
        <w:tc>
          <w:tcPr>
            <w:tcW w:type="dxa" w:w="1594"/>
          </w:tcPr>
          <w:p>
            <w:pPr>
              <w:spacing w:after="0"/>
            </w:pPr>
            <w:r>
              <w:rPr>
                <w:sz w:val="19"/>
              </w:rPr>
              <w:t>раньше очень частые, затихли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персональный возврат</w:t>
            </w:r>
          </w:p>
        </w:tc>
        <w:tc>
          <w:tcPr>
            <w:tcW w:type="dxa" w:w="3172"/>
          </w:tcPr>
          <w:p>
            <w:pPr>
              <w:spacing w:after="0"/>
            </w:pPr>
            <w:r>
              <w:rPr>
                <w:sz w:val="19"/>
              </w:rPr>
              <w:t>звонок хоста, индивидуальный оффер после проверки RG/AML</w:t>
            </w:r>
          </w:p>
        </w:tc>
        <w:tc>
          <w:tcPr>
            <w:tcW w:type="dxa" w:w="2028"/>
          </w:tcPr>
          <w:p>
            <w:pPr>
              <w:spacing w:after="0"/>
            </w:pPr>
            <w:r>
              <w:rPr>
                <w:sz w:val="19"/>
              </w:rPr>
              <w:t>сначала комплаенс</w:t>
            </w:r>
          </w:p>
        </w:tc>
      </w:tr>
      <w:tr>
        <w:tc>
          <w:tcPr>
            <w:tcW w:type="dxa" w:w="1203"/>
          </w:tcPr>
          <w:p>
            <w:pPr>
              <w:spacing w:after="0"/>
            </w:pPr>
            <w:r>
              <w:rPr>
                <w:sz w:val="19"/>
              </w:rPr>
              <w:t>Hibernating, lost</w:t>
            </w:r>
          </w:p>
        </w:tc>
        <w:tc>
          <w:tcPr>
            <w:tcW w:type="dxa" w:w="1594"/>
          </w:tcPr>
          <w:p>
            <w:pPr>
              <w:spacing w:after="0"/>
            </w:pPr>
            <w:r>
              <w:rPr>
                <w:sz w:val="19"/>
              </w:rPr>
              <w:t>давно и редко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дешёвая реактивация или прощание</w:t>
            </w:r>
          </w:p>
        </w:tc>
        <w:tc>
          <w:tcPr>
            <w:tcW w:type="dxa" w:w="3172"/>
          </w:tcPr>
          <w:p>
            <w:pPr>
              <w:spacing w:after="0"/>
            </w:pPr>
            <w:r>
              <w:rPr>
                <w:sz w:val="19"/>
              </w:rPr>
              <w:t>автоматический контент, без SMS</w:t>
            </w:r>
          </w:p>
        </w:tc>
        <w:tc>
          <w:tcPr>
            <w:tcW w:type="dxa" w:w="2028"/>
          </w:tcPr>
          <w:p>
            <w:pPr>
              <w:spacing w:after="0"/>
            </w:pPr>
            <w:r>
              <w:rPr>
                <w:sz w:val="19"/>
              </w:rPr>
              <w:t>беречь репутацию email-отправителя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/>
        <w:t>Что я ожидаю увидеть и почему это важно</w:t>
      </w:r>
    </w:p>
    <w:p>
      <w:r>
        <w:rPr/>
        <w:t>Как правило, небольшая группа частых игроков приносит большую часть NGR. Если это так, из этого следуют две вещи:</w:t>
      </w:r>
    </w:p>
    <w:p>
      <w:pPr>
        <w:tabs>
          <w:tab w:pos="397" w:val="left"/>
        </w:tabs>
        <w:spacing w:after="40"/>
        <w:ind w:left="397" w:hanging="283"/>
      </w:pPr>
      <w:r>
        <w:t>1.</w:t>
        <w:tab/>
      </w:r>
      <w:r>
        <w:rPr/>
      </w:r>
      <w:r>
        <w:rPr>
          <w:b/>
        </w:rPr>
        <w:t>Защищать Champions важнее любой массовой акции.</w:t>
      </w:r>
      <w:r>
        <w:rPr/>
        <w:t xml:space="preserve"> Потеря нескольких из них стоит больше, чем приносит массовая кампания.</w:t>
      </w:r>
    </w:p>
    <w:p>
      <w:pPr>
        <w:tabs>
          <w:tab w:pos="397" w:val="left"/>
        </w:tabs>
        <w:spacing w:after="40"/>
        <w:ind w:left="397" w:hanging="283"/>
      </w:pPr>
      <w:r>
        <w:t>2.</w:t>
        <w:tab/>
      </w:r>
      <w:r>
        <w:rPr/>
      </w:r>
      <w:r>
        <w:rPr>
          <w:b/>
        </w:rPr>
        <w:t>Пятничный reload, скорее всего, платит не тем.</w:t>
      </w:r>
      <w:r>
        <w:rPr/>
        <w:t xml:space="preserve"> Champions и так вносят депозиты по пятницам, а Lost на €50 не реагируют. Бонус в основном попадает туда, где ничего не меняет.</w:t>
      </w:r>
    </w:p>
    <w:p>
      <w:r>
        <w:rPr/>
        <w:t>Ещё я бы посчитал игроков с отрицательным NGR за всё время, то есть тех, кто получил выигрышами и бонусами больше, чем проиграл. При бонусах всем подряд эта группа обычно растёт.</w:t>
      </w:r>
    </w:p>
    <w:p>
      <w:pPr>
        <w:pStyle w:val="Heading2"/>
      </w:pPr>
      <w:r/>
      <w:r>
        <w:rPr/>
        <w:t>Как я бы измерял</w:t>
      </w:r>
    </w:p>
    <w:p>
      <w:r>
        <w:rPr/>
        <w:t>Ценность сегментации видна в тестах: сегмент против общего и у каждого случайный холдаут.</w:t>
      </w:r>
      <w:r>
        <w:br/>
      </w:r>
      <w:r>
        <w:rPr/>
        <w:t>Для пятничного reload первым делом я бы запустил тест "reload или без reload" среди Champions. Если депозиты не упадут, экономия появляется сразу.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