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Кейс 04 - VIP-игроки уходят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</w:r>
      <w:r>
        <w:rPr>
          <w:b/>
        </w:rPr>
        <w:t>Кратко:</w:t>
      </w:r>
      <w:r>
        <w:rPr/>
        <w:t xml:space="preserve"> сравниваю каждого VIP с его собственным привычным ритмом, замечаю спад заранее и передаю сигнал менеджеру на сервисный звонок. Бонус - только если звонок не помог.</w:t>
      </w:r>
    </w:p>
    <w:p>
      <w:pPr>
        <w:pStyle w:val="Heading2"/>
      </w:pPr>
      <w:r/>
      <w:r>
        <w:rPr/>
        <w:t>Ситуация</w:t>
      </w:r>
    </w:p>
    <w:p>
      <w:r>
        <w:rPr>
          <w:i/>
        </w:rPr>
        <w:t>Условные цифры для задачи.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Около 250 активных VIP (депозиты от €2 500 за 90 дней).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Сейчас алерт срабатывает, если VIP не делал депозит 14 дней.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К этому моменту многие игроки уже ушли к конкуренту и звонок выглядит как попытка догнать.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VIP-команда может сделать около 25-30 личных контактов в неделю.</w:t>
      </w:r>
    </w:p>
    <w:p>
      <w:pPr>
        <w:pStyle w:val="Heading2"/>
      </w:pPr>
      <w:r/>
      <w:r>
        <w:rPr/>
        <w:t>Как я к этому подхожу</w:t>
      </w:r>
    </w:p>
    <w:p>
      <w:r>
        <w:rPr/>
        <w:t>Я сравниваю каждого VIP с его собственным поведением - вне общих метрик т.к. есть риск получить нерелевантный результат анализа.</w:t>
      </w:r>
    </w:p>
    <w:p>
      <w:pPr>
        <w:pStyle w:val="Heading2"/>
      </w:pPr>
      <w:r/>
      <w:r>
        <w:rPr/>
        <w:t>Сигналы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6"/>
        <w:gridCol w:w="4241"/>
        <w:gridCol w:w="3784"/>
      </w:tblGrid>
      <w:tr>
        <w:tc>
          <w:tcPr>
            <w:tcW w:type="dxa" w:w="1386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Сигнал</w:t>
            </w:r>
          </w:p>
        </w:tc>
        <w:tc>
          <w:tcPr>
            <w:tcW w:type="dxa" w:w="4241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Что сравнивает</w:t>
            </w:r>
          </w:p>
        </w:tc>
        <w:tc>
          <w:tcPr>
            <w:tcW w:type="dxa" w:w="3784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Зачем</w:t>
            </w:r>
          </w:p>
        </w:tc>
      </w:tr>
      <w:tr>
        <w:tc>
          <w:tcPr>
            <w:tcW w:type="dxa" w:w="1386"/>
          </w:tcPr>
          <w:p>
            <w:pPr>
              <w:spacing w:after="0"/>
            </w:pPr>
            <w:r>
              <w:rPr>
                <w:sz w:val="19"/>
              </w:rPr>
              <w:t>Частота депозитов</w:t>
            </w:r>
          </w:p>
        </w:tc>
        <w:tc>
          <w:tcPr>
            <w:tcW w:type="dxa" w:w="4241"/>
          </w:tcPr>
          <w:p>
            <w:pPr>
              <w:spacing w:after="0"/>
            </w:pPr>
            <w:r>
              <w:rPr>
                <w:sz w:val="19"/>
              </w:rPr>
              <w:t>депозиты за последние 14 дней vs 28 дней до этого</w:t>
            </w:r>
          </w:p>
        </w:tc>
        <w:tc>
          <w:tcPr>
            <w:tcW w:type="dxa" w:w="3784"/>
          </w:tcPr>
          <w:p>
            <w:pPr>
              <w:spacing w:after="0"/>
            </w:pPr>
            <w:r>
              <w:rPr>
                <w:sz w:val="19"/>
              </w:rPr>
              <w:t>замедляется первой</w:t>
            </w:r>
          </w:p>
        </w:tc>
      </w:tr>
      <w:tr>
        <w:tc>
          <w:tcPr>
            <w:tcW w:type="dxa" w:w="1386"/>
          </w:tcPr>
          <w:p>
            <w:pPr>
              <w:spacing w:after="0"/>
            </w:pPr>
            <w:r>
              <w:rPr>
                <w:sz w:val="19"/>
              </w:rPr>
              <w:t>Активность</w:t>
            </w:r>
          </w:p>
        </w:tc>
        <w:tc>
          <w:tcPr>
            <w:tcW w:type="dxa" w:w="4241"/>
          </w:tcPr>
          <w:p>
            <w:pPr>
              <w:spacing w:after="0"/>
            </w:pPr>
            <w:r>
              <w:rPr>
                <w:sz w:val="19"/>
              </w:rPr>
              <w:t>активные дни за последние 14 дней vs 28 дней до этого</w:t>
            </w:r>
          </w:p>
        </w:tc>
        <w:tc>
          <w:tcPr>
            <w:tcW w:type="dxa" w:w="3784"/>
          </w:tcPr>
          <w:p>
            <w:pPr>
              <w:spacing w:after="0"/>
            </w:pPr>
            <w:r>
              <w:rPr>
                <w:sz w:val="19"/>
              </w:rPr>
              <w:t>одни игроки продолжают заходить, но перестают вносить депозиты, у других наоборот</w:t>
            </w:r>
          </w:p>
        </w:tc>
      </w:tr>
      <w:tr>
        <w:tc>
          <w:tcPr>
            <w:tcW w:type="dxa" w:w="1386"/>
          </w:tcPr>
          <w:p>
            <w:pPr>
              <w:spacing w:after="0"/>
            </w:pPr>
            <w:r>
              <w:rPr>
                <w:sz w:val="19"/>
              </w:rPr>
              <w:t>Ставка</w:t>
            </w:r>
          </w:p>
        </w:tc>
        <w:tc>
          <w:tcPr>
            <w:tcW w:type="dxa" w:w="4241"/>
          </w:tcPr>
          <w:p>
            <w:pPr>
              <w:spacing w:after="0"/>
            </w:pPr>
            <w:r>
              <w:rPr>
                <w:sz w:val="19"/>
              </w:rPr>
              <w:t>ставки за последние 14 дней vs 28 дней до этого</w:t>
            </w:r>
          </w:p>
        </w:tc>
        <w:tc>
          <w:tcPr>
            <w:tcW w:type="dxa" w:w="3784"/>
          </w:tcPr>
          <w:p>
            <w:pPr>
              <w:spacing w:after="0"/>
            </w:pPr>
            <w:r>
              <w:rPr>
                <w:sz w:val="19"/>
              </w:rPr>
              <w:t>перед уходом ставки становятся меньше</w:t>
            </w:r>
          </w:p>
        </w:tc>
      </w:tr>
      <w:tr>
        <w:tc>
          <w:tcPr>
            <w:tcW w:type="dxa" w:w="1386"/>
          </w:tcPr>
          <w:p>
            <w:pPr>
              <w:spacing w:after="0"/>
            </w:pPr>
            <w:r>
              <w:rPr>
                <w:sz w:val="19"/>
              </w:rPr>
              <w:t>Коэффициент "просрочки"</w:t>
            </w:r>
          </w:p>
        </w:tc>
        <w:tc>
          <w:tcPr>
            <w:tcW w:type="dxa" w:w="4241"/>
          </w:tcPr>
          <w:p>
            <w:pPr>
              <w:spacing w:after="0"/>
            </w:pPr>
            <w:r>
              <w:rPr>
                <w:sz w:val="19"/>
              </w:rPr>
              <w:t>дни с последнего депозита ÷ обычный интервал игрока между депозитами</w:t>
            </w:r>
          </w:p>
        </w:tc>
        <w:tc>
          <w:tcPr>
            <w:tcW w:type="dxa" w:w="3784"/>
          </w:tcPr>
          <w:p>
            <w:pPr>
              <w:spacing w:after="0"/>
            </w:pPr>
            <w:r>
              <w:rPr>
                <w:sz w:val="19"/>
              </w:rPr>
              <w:t>2 значит, что игрок пропустил примерно один привычный депозит</w:t>
            </w:r>
          </w:p>
        </w:tc>
      </w:tr>
    </w:tbl>
    <w:p>
      <w:pPr>
        <w:spacing w:after="40"/>
      </w:pPr>
    </w:p>
    <w:p>
      <w:r>
        <w:rPr/>
        <w:t>Простой скоринг, 0-6 баллов: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59"/>
        <w:gridCol w:w="2552"/>
      </w:tblGrid>
      <w:tr>
        <w:tc>
          <w:tcPr>
            <w:tcW w:type="dxa" w:w="6859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Условие</w:t>
            </w:r>
          </w:p>
        </w:tc>
        <w:tc>
          <w:tcPr>
            <w:tcW w:type="dxa" w:w="2552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Баллы</w:t>
            </w:r>
          </w:p>
        </w:tc>
      </w:tr>
      <w:tr>
        <w:tc>
          <w:tcPr>
            <w:tcW w:type="dxa" w:w="6859"/>
          </w:tcPr>
          <w:p>
            <w:pPr>
              <w:spacing w:after="0"/>
            </w:pPr>
            <w:r>
              <w:rPr>
                <w:sz w:val="19"/>
              </w:rPr>
              <w:t>Частота депозитов ниже половины нормы</w:t>
            </w:r>
          </w:p>
        </w:tc>
        <w:tc>
          <w:tcPr>
            <w:tcW w:type="dxa" w:w="2552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6859"/>
          </w:tcPr>
          <w:p>
            <w:pPr>
              <w:spacing w:after="0"/>
            </w:pPr>
            <w:r>
              <w:rPr>
                <w:sz w:val="19"/>
              </w:rPr>
              <w:t>Активность ниже половины нормы</w:t>
            </w:r>
          </w:p>
        </w:tc>
        <w:tc>
          <w:tcPr>
            <w:tcW w:type="dxa" w:w="2552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6859"/>
          </w:tcPr>
          <w:p>
            <w:pPr>
              <w:spacing w:after="0"/>
            </w:pPr>
            <w:r>
              <w:rPr>
                <w:sz w:val="19"/>
              </w:rPr>
              <w:t>Ставка ниже половины нормы</w:t>
            </w:r>
          </w:p>
        </w:tc>
        <w:tc>
          <w:tcPr>
            <w:tcW w:type="dxa" w:w="2552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6859"/>
          </w:tcPr>
          <w:p>
            <w:pPr>
              <w:spacing w:after="0"/>
            </w:pPr>
            <w:r>
              <w:rPr>
                <w:sz w:val="19"/>
              </w:rPr>
              <w:t>Коэффициент просрочки выше 2</w:t>
            </w:r>
          </w:p>
        </w:tc>
        <w:tc>
          <w:tcPr>
            <w:tcW w:type="dxa" w:w="2552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</w:tbl>
    <w:p>
      <w:pPr>
        <w:spacing w:after="40"/>
      </w:pPr>
    </w:p>
    <w:p>
      <w:r>
        <w:rPr/>
        <w:t>Высокий риск - 4 балла и больше.</w:t>
      </w:r>
    </w:p>
    <w:p>
      <w:pPr>
        <w:pStyle w:val="Heading2"/>
      </w:pPr>
      <w:r/>
      <w:r>
        <w:rPr/>
        <w:t>Как я бы проверил скоринг перед запуском</w:t>
      </w:r>
    </w:p>
    <w:p>
      <w:r>
        <w:rPr/>
        <w:t>Берём еженедельные срезы за прошлые месяцы. На каждом срезе считаем триггеры только по данным до этого дня, а потом смотрим, кто на самом деле перестал вносить депозиты в следующие 30 дней.</w:t>
      </w:r>
    </w:p>
    <w:p>
      <w:r>
        <w:rPr/>
        <w:t>Дальше сравниваю его с правилом 14 дней по трём параметрам: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точность:</w:t>
      </w:r>
      <w:r>
        <w:rPr/>
        <w:t xml:space="preserve"> сколько из отмеченных VIP действительно ушли;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полнота:</w:t>
      </w:r>
      <w:r>
        <w:rPr/>
        <w:t xml:space="preserve"> сколько из ушедших VIP были отмечены;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запас по времени:</w:t>
      </w:r>
      <w:r>
        <w:rPr/>
        <w:t xml:space="preserve"> на сколько дней раньше сработал скоринг.</w:t>
      </w:r>
    </w:p>
    <w:p>
      <w:r>
        <w:rPr/>
      </w:r>
      <w:r>
        <w:rPr>
          <w:b/>
        </w:rPr>
        <w:t>Чего я ожидаю:</w:t>
      </w:r>
      <w:r>
        <w:rPr/>
        <w:t xml:space="preserve"> скоринг срабатывает раньше и ловит больше уходящих, но с большим числом ложных тревог; правило 14 дней точнее, но запаздывает. Здесь такой компромисс приемлем, потому что действие дешёвое.</w:t>
      </w:r>
    </w:p>
    <w:p>
      <w:pPr>
        <w:pStyle w:val="Heading2"/>
      </w:pPr>
      <w:r/>
      <w:r>
        <w:rPr/>
        <w:t>Что я бы сделал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</w:r>
      <w:r>
        <w:rPr>
          <w:b/>
        </w:rPr>
        <w:t>Скоринг ≥ 4 -&gt; контакт хоста в течение 48 часов.</w:t>
      </w:r>
      <w:r>
        <w:rPr/>
        <w:t xml:space="preserve"> Сервис, вопрос о впечатлениях, подходящее событие или игра. </w:t>
      </w:r>
      <w:r>
        <w:rPr>
          <w:b/>
        </w:rPr>
        <w:t>Без бонуса.</w:t>
      </w:r>
      <w:r>
        <w:rPr/>
        <w:t xml:space="preserve"> Это дёшево.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</w:r>
      <w:r>
        <w:rPr>
          <w:b/>
        </w:rPr>
        <w:t>14 дней без депозита -&gt; сценарий возврата.</w:t>
      </w:r>
      <w:r>
        <w:rPr/>
        <w:t xml:space="preserve"> Персональное предложение, но только после проверки RG и AML.</w:t>
      </w:r>
    </w:p>
    <w:p>
      <w:pPr>
        <w:tabs>
          <w:tab w:pos="397" w:val="left"/>
        </w:tabs>
        <w:spacing w:after="40"/>
        <w:ind w:left="397" w:hanging="283"/>
      </w:pPr>
      <w:r>
        <w:t>3.</w:t>
        <w:tab/>
      </w:r>
      <w:r>
        <w:rPr/>
      </w:r>
      <w:r>
        <w:rPr>
          <w:b/>
        </w:rPr>
        <w:t>Проверка RG перед любым действием.</w:t>
      </w:r>
      <w:r>
        <w:rPr/>
      </w:r>
    </w:p>
    <w:p>
      <w:pPr>
        <w:pStyle w:val="Heading2"/>
      </w:pPr>
      <w:r/>
      <w:r>
        <w:rPr/>
        <w:t>Как я бы измерял</w:t>
      </w:r>
    </w:p>
    <w:p>
      <w:r>
        <w:rPr/>
        <w:t>Тест 50/50 среди VIP с высоким риском: звонок хоста vs без звонка. Основной KPI - депозит в течение 30 дней. Дополнительный - NGR на VIP за 60 дней.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