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09 - Открытия и клики растут, выручка падает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Клики - не деньги. Смотрю воронку от сообщения до депозита и NGR, нахожу, где она рвётся, и меняю KPI, на который работает команда. Нужна реальная ценность для бизнеса.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После обновления креативов open rate писем вырос с 18% до 26%, а click rate удвоился.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В том же месяце депозиты игроков, атрибутированных на CRM, упали на 8%, и NGR на игрока тоже упал.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Команда празднует рост вовлечённости.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>Метрики вовлечённости легко сдвинуть, и они приятно выглядят. Но до денег от них несколько шагов. Если они идут в одну сторону, а выручка в другую, значит, что-то сломалось между кликом и депозитом. Или кликают не те люди.</w:t>
      </w:r>
    </w:p>
    <w:p>
      <w:pPr>
        <w:pStyle w:val="Heading2"/>
      </w:pPr>
      <w:r/>
      <w:r>
        <w:rPr/>
        <w:t>Воронка, которую я бы проверил шаг за шагом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7900"/>
      </w:tblGrid>
      <w:tr>
        <w:tc>
          <w:tcPr>
            <w:tcW w:type="dxa" w:w="151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Шаг</w:t>
            </w:r>
          </w:p>
        </w:tc>
        <w:tc>
          <w:tcPr>
            <w:tcW w:type="dxa" w:w="790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может пойти не так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>
              <w:rPr>
                <w:sz w:val="19"/>
              </w:rPr>
              <w:t>Доставлено</w:t>
            </w:r>
          </w:p>
        </w:tc>
        <w:tc>
          <w:tcPr>
            <w:tcW w:type="dxa" w:w="7900"/>
          </w:tcPr>
          <w:p>
            <w:pPr>
              <w:spacing w:after="0"/>
            </w:pPr>
            <w:r>
              <w:rPr>
                <w:sz w:val="19"/>
              </w:rPr>
              <w:t>проблемы с доставляемостью (open rate могут завышать и почтовые клиенты, которые заранее подгружают картинки)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>
              <w:rPr>
                <w:sz w:val="19"/>
              </w:rPr>
              <w:t>Открыто</w:t>
            </w:r>
          </w:p>
        </w:tc>
        <w:tc>
          <w:tcPr>
            <w:tcW w:type="dxa" w:w="7900"/>
          </w:tcPr>
          <w:p>
            <w:pPr>
              <w:spacing w:after="0"/>
            </w:pPr>
            <w:r>
              <w:rPr>
                <w:sz w:val="19"/>
              </w:rPr>
              <w:t>Кликбейты. "Интригующие" темы писем, которые хорошо открывают и плохо конвертируют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>
              <w:rPr>
                <w:sz w:val="19"/>
              </w:rPr>
              <w:t>Клик</w:t>
            </w:r>
          </w:p>
        </w:tc>
        <w:tc>
          <w:tcPr>
            <w:tcW w:type="dxa" w:w="7900"/>
          </w:tcPr>
          <w:p>
            <w:pPr>
              <w:spacing w:after="0"/>
            </w:pPr>
            <w:r>
              <w:rPr>
                <w:sz w:val="19"/>
              </w:rPr>
              <w:t>CTA ведёт на страницу, которая не совпадает с сообщением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>
              <w:rPr>
                <w:sz w:val="19"/>
              </w:rPr>
              <w:t>Переход на страницу</w:t>
            </w:r>
          </w:p>
        </w:tc>
        <w:tc>
          <w:tcPr>
            <w:tcW w:type="dxa" w:w="7900"/>
          </w:tcPr>
          <w:p>
            <w:pPr>
              <w:spacing w:after="0"/>
            </w:pPr>
            <w:r>
              <w:rPr>
                <w:sz w:val="19"/>
              </w:rPr>
              <w:t>медленный или сломанный лендинг, особенно на мобильных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>
              <w:rPr>
                <w:sz w:val="19"/>
              </w:rPr>
              <w:t>Депозит</w:t>
            </w:r>
          </w:p>
        </w:tc>
        <w:tc>
          <w:tcPr>
            <w:tcW w:type="dxa" w:w="7900"/>
          </w:tcPr>
          <w:p>
            <w:pPr>
              <w:spacing w:after="0"/>
            </w:pPr>
            <w:r>
              <w:rPr>
                <w:sz w:val="19"/>
              </w:rPr>
              <w:t>трудности с оплатой, KYC, условия оффера, которые отпугивают</w:t>
            </w:r>
          </w:p>
        </w:tc>
      </w:tr>
      <w:tr>
        <w:tc>
          <w:tcPr>
            <w:tcW w:type="dxa" w:w="1511"/>
          </w:tcPr>
          <w:p>
            <w:pPr>
              <w:spacing w:after="0"/>
            </w:pPr>
            <w:r>
              <w:rPr>
                <w:sz w:val="19"/>
              </w:rPr>
              <w:t>Игра / NGR</w:t>
            </w:r>
          </w:p>
        </w:tc>
        <w:tc>
          <w:tcPr>
            <w:tcW w:type="dxa" w:w="7900"/>
          </w:tcPr>
          <w:p>
            <w:pPr>
              <w:spacing w:after="0"/>
            </w:pPr>
            <w:r>
              <w:rPr>
                <w:sz w:val="19"/>
              </w:rPr>
              <w:t>оффер приводит игроков, которые берут бонус и уходят; стоимость бонуса съедает маржу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Гипотезы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Кликбейтные креативы:</w:t>
      </w:r>
      <w:r>
        <w:rPr/>
        <w:t xml:space="preserve"> "интригующие" строки собирают клики игроков, которые не собираются делать депозит.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Слабая связка письма и лендинга:</w:t>
      </w:r>
      <w:r>
        <w:rPr/>
        <w:t xml:space="preserve"> письмо обещает одно, страница показывает другое.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Не та аудитория:</w:t>
      </w:r>
      <w:r>
        <w:rPr/>
        <w:t xml:space="preserve"> вместе с обновлением сегмент расширили, и сообщения получило больше игроков с низким намерением.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Изменился оффер:</w:t>
      </w:r>
      <w:r>
        <w:rPr/>
        <w:t xml:space="preserve"> более щедрое предложение подняло клики и стоимость бонусов, а те, кто на него откликается, приносят мало NGR.</w:t>
      </w:r>
    </w:p>
    <w:p>
      <w:pPr>
        <w:pStyle w:val="Heading2"/>
      </w:pPr>
      <w:r/>
      <w:r>
        <w:rPr/>
        <w:t>Что я бы сделал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Разложил результаты по сегментам и кампаниям.</w:t>
      </w:r>
      <w:r>
        <w:rPr/>
        <w:t xml:space="preserve"> Если аудиторию расширили, сравнивал бы сопоставимое.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Сначала проверил бы трекинг.</w:t>
      </w:r>
      <w:r>
        <w:rPr/>
        <w:t xml:space="preserve"> Если открытия за ночь подскочили во всех кампаниях сразу, скорее всего, сломалось измерение. Игроки так резко не меняются.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Починил бы воронку там, где она рвётся:</w:t>
      </w:r>
      <w:r>
        <w:rPr/>
        <w:t xml:space="preserve"> связка письма и лендинга, более понятный CTA, меньше шагов до "кассы".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Сменил бы целевую метрику.</w:t>
      </w:r>
      <w:r>
        <w:rPr/>
        <w:t xml:space="preserve"> Команда должна оптимизировать </w:t>
      </w:r>
      <w:r>
        <w:rPr>
          <w:i/>
        </w:rPr>
        <w:t>долю депозитов на игрока</w:t>
      </w:r>
      <w:r>
        <w:rPr/>
        <w:t xml:space="preserve"> и </w:t>
      </w:r>
      <w:r>
        <w:rPr>
          <w:i/>
        </w:rPr>
        <w:t>инкрементальный NGR</w:t>
      </w:r>
      <w:r>
        <w:rPr/>
        <w:t>. CTR оставить для диагностики.</w:t>
      </w:r>
    </w:p>
    <w:p>
      <w:pPr>
        <w:pStyle w:val="Heading2"/>
      </w:pPr>
      <w:r/>
      <w:r>
        <w:rPr/>
        <w:t>Как я бы измерял</w:t>
      </w:r>
    </w:p>
    <w:p>
      <w:r>
        <w:rPr/>
        <w:t>Старые креативы против новых, случайное разделение, плюс контрольная группа без контакта. Основной KPI: депозит в течение 7 дней. Метрика для решения: NGR на игрока. Защитная метрика: доля отписок и жалоб.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