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Многоуровневая реактивация: остывающие -&gt; в зоне риска -&gt; спящие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win-back для игроков, которые перестали вносить депозиты. Сначала контент, деньги только если контент не сработал, самый крупный оффер только тем, чей возврат того стоит. Обязательная случайная контрольная группа. Цель - депозит за 30 дней.</w:t>
      </w:r>
    </w:p>
    <w:p>
      <w:pPr>
        <w:pStyle w:val="Heading2"/>
      </w:pPr>
      <w:r/>
      <w:r>
        <w:rPr/>
        <w:t>Задача</w:t>
      </w:r>
    </w:p>
    <w:p>
      <w:r>
        <w:rPr/>
        <w:t>Уходящие игроки - самая большая группа, до которой может дотянуться CRM, и многие из них возвращаются сами. Если вернулись 30% тех, кому мы писали, это не значит, что кампания вернула 30%: она вернула разницу между ними и контрольной группой. Win-back должен тратить контакты и бонусы только там, где они меняют результат.</w:t>
      </w:r>
    </w:p>
    <w:p>
      <w:pPr>
        <w:pStyle w:val="Heading2"/>
      </w:pPr>
      <w:r/>
      <w:r>
        <w:rPr/>
        <w:t>Паспорт кампании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0"/>
        <w:gridCol w:w="7721"/>
      </w:tblGrid>
      <w:tr>
        <w:tc>
          <w:tcPr>
            <w:tcW w:type="dxa" w:w="169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72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1690"/>
          </w:tcPr>
          <w:p>
            <w:pPr>
              <w:spacing w:after="0"/>
            </w:pPr>
            <w:r>
              <w:rPr>
                <w:sz w:val="19"/>
              </w:rPr>
              <w:t>Тип</w:t>
            </w:r>
          </w:p>
        </w:tc>
        <w:tc>
          <w:tcPr>
            <w:tcW w:type="dxa" w:w="7721"/>
          </w:tcPr>
          <w:p>
            <w:pPr>
              <w:spacing w:after="0"/>
            </w:pPr>
            <w:r>
              <w:rPr>
                <w:sz w:val="19"/>
              </w:rPr>
              <w:t>триггерная, по входу в сегмент</w:t>
            </w:r>
          </w:p>
        </w:tc>
      </w:tr>
      <w:tr>
        <w:tc>
          <w:tcPr>
            <w:tcW w:type="dxa" w:w="1690"/>
          </w:tcPr>
          <w:p>
            <w:pPr>
              <w:spacing w:after="0"/>
            </w:pPr>
            <w:r>
              <w:rPr>
                <w:sz w:val="19"/>
              </w:rPr>
              <w:t>Вход</w:t>
            </w:r>
          </w:p>
        </w:tc>
        <w:tc>
          <w:tcPr>
            <w:tcW w:type="dxa" w:w="7721"/>
          </w:tcPr>
          <w:p>
            <w:pPr>
              <w:spacing w:after="0"/>
            </w:pPr>
            <w:r>
              <w:rPr>
                <w:sz w:val="19"/>
              </w:rPr>
              <w:t>последний депозит 14-90 дней назад (точка 14 дней уточняется по кривой естественного возврата)</w:t>
            </w:r>
          </w:p>
        </w:tc>
      </w:tr>
      <w:tr>
        <w:tc>
          <w:tcPr>
            <w:tcW w:type="dxa" w:w="1690"/>
          </w:tcPr>
          <w:p>
            <w:pPr>
              <w:spacing w:after="0"/>
            </w:pPr>
            <w:r>
              <w:rPr>
                <w:sz w:val="19"/>
              </w:rPr>
              <w:t>Повторный вход</w:t>
            </w:r>
          </w:p>
        </w:tc>
        <w:tc>
          <w:tcPr>
            <w:tcW w:type="dxa" w:w="7721"/>
          </w:tcPr>
          <w:p>
            <w:pPr>
              <w:spacing w:after="0"/>
            </w:pPr>
            <w:r>
              <w:rPr>
                <w:sz w:val="19"/>
              </w:rPr>
              <w:t>не чаще одного раза в 60 дней</w:t>
            </w:r>
          </w:p>
        </w:tc>
      </w:tr>
      <w:tr>
        <w:tc>
          <w:tcPr>
            <w:tcW w:type="dxa" w:w="1690"/>
          </w:tcPr>
          <w:p>
            <w:pPr>
              <w:spacing w:after="0"/>
            </w:pPr>
            <w:r>
              <w:rPr>
                <w:sz w:val="19"/>
              </w:rPr>
              <w:t>Цель (конверсия)</w:t>
            </w:r>
          </w:p>
        </w:tc>
        <w:tc>
          <w:tcPr>
            <w:tcW w:type="dxa" w:w="7721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deposit_made</w:t>
            </w:r>
            <w:r>
              <w:rPr>
                <w:sz w:val="19"/>
              </w:rPr>
              <w:t xml:space="preserve"> в течение 30 дней после входа</w:t>
            </w:r>
          </w:p>
        </w:tc>
      </w:tr>
      <w:tr>
        <w:tc>
          <w:tcPr>
            <w:tcW w:type="dxa" w:w="1690"/>
          </w:tcPr>
          <w:p>
            <w:pPr>
              <w:spacing w:after="0"/>
            </w:pPr>
            <w:r>
              <w:rPr>
                <w:sz w:val="19"/>
              </w:rPr>
              <w:t>Выход</w:t>
            </w:r>
          </w:p>
        </w:tc>
        <w:tc>
          <w:tcPr>
            <w:tcW w:type="dxa" w:w="7721"/>
          </w:tcPr>
          <w:p>
            <w:pPr>
              <w:spacing w:after="0"/>
            </w:pPr>
            <w:r>
              <w:rPr>
                <w:sz w:val="19"/>
              </w:rPr>
              <w:t xml:space="preserve">депозит -&gt; </w:t>
            </w:r>
            <w:r>
              <w:rPr>
                <w:i/>
                <w:sz w:val="19"/>
              </w:rPr>
              <w:t>Priority</w:t>
            </w:r>
            <w:r>
              <w:rPr>
                <w:sz w:val="19"/>
              </w:rPr>
              <w:t xml:space="preserve">; самоисключение или тайм-аут; RG High; 45-й день -&gt; </w:t>
            </w:r>
            <w:r>
              <w:rPr>
                <w:i/>
                <w:sz w:val="19"/>
              </w:rPr>
              <w:t>Low frequency</w:t>
            </w:r>
          </w:p>
        </w:tc>
      </w:tr>
      <w:tr>
        <w:tc>
          <w:tcPr>
            <w:tcW w:type="dxa" w:w="1690"/>
          </w:tcPr>
          <w:p>
            <w:pPr>
              <w:spacing w:after="0"/>
            </w:pPr>
            <w:r>
              <w:rPr>
                <w:sz w:val="19"/>
              </w:rPr>
              <w:t>Приоритет</w:t>
            </w:r>
          </w:p>
        </w:tc>
        <w:tc>
          <w:tcPr>
            <w:tcW w:type="dxa" w:w="7721"/>
          </w:tcPr>
          <w:p>
            <w:pPr>
              <w:spacing w:after="0"/>
            </w:pPr>
            <w:r>
              <w:rPr>
                <w:sz w:val="19"/>
              </w:rPr>
              <w:t>ниже онбординга, второго депозита и VIP; выше кросс-селла</w:t>
            </w:r>
          </w:p>
        </w:tc>
      </w:tr>
      <w:tr>
        <w:tc>
          <w:tcPr>
            <w:tcW w:type="dxa" w:w="1690"/>
          </w:tcPr>
          <w:p>
            <w:pPr>
              <w:spacing w:after="0"/>
            </w:pPr>
            <w:r>
              <w:rPr>
                <w:sz w:val="19"/>
              </w:rPr>
              <w:t>Каналы</w:t>
            </w:r>
          </w:p>
        </w:tc>
        <w:tc>
          <w:tcPr>
            <w:tcW w:type="dxa" w:w="7721"/>
          </w:tcPr>
          <w:p>
            <w:pPr>
              <w:spacing w:after="0"/>
            </w:pPr>
            <w:r>
              <w:rPr>
                <w:sz w:val="19"/>
              </w:rPr>
              <w:t>email, push, SMS; для высокой ценности VIP-менеджер</w:t>
            </w:r>
          </w:p>
        </w:tc>
      </w:tr>
      <w:tr>
        <w:tc>
          <w:tcPr>
            <w:tcW w:type="dxa" w:w="1690"/>
          </w:tcPr>
          <w:p>
            <w:pPr>
              <w:spacing w:after="0"/>
            </w:pPr>
            <w:r>
              <w:rPr>
                <w:sz w:val="19"/>
              </w:rPr>
              <w:t>Холдаут</w:t>
            </w:r>
          </w:p>
        </w:tc>
        <w:tc>
          <w:tcPr>
            <w:tcW w:type="dxa" w:w="7721"/>
          </w:tcPr>
          <w:p>
            <w:pPr>
              <w:spacing w:after="0"/>
            </w:pPr>
            <w:r>
              <w:rPr>
                <w:sz w:val="19"/>
              </w:rPr>
              <w:t>15% на входе; 25% для высокой ценности</w:t>
            </w:r>
          </w:p>
        </w:tc>
      </w:tr>
      <w:tr>
        <w:tc>
          <w:tcPr>
            <w:tcW w:type="dxa" w:w="1690"/>
          </w:tcPr>
          <w:p>
            <w:pPr>
              <w:spacing w:after="0"/>
            </w:pPr>
            <w:r>
              <w:rPr>
                <w:sz w:val="19"/>
              </w:rPr>
              <w:t>Владелец</w:t>
            </w:r>
          </w:p>
        </w:tc>
        <w:tc>
          <w:tcPr>
            <w:tcW w:type="dxa" w:w="7721"/>
          </w:tcPr>
          <w:p>
            <w:pPr>
              <w:spacing w:after="0"/>
            </w:pPr>
            <w:r>
              <w:rPr>
                <w:sz w:val="19"/>
              </w:rPr>
              <w:t>CRM; VIP-команда ведёт высокий уровень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Аудитория, допуск и исключения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Уровень ценности на входе</w:t>
      </w:r>
      <w:r>
        <w:rPr/>
        <w:t xml:space="preserve"> (</w:t>
      </w:r>
      <w:r>
        <w:rPr>
          <w:rFonts w:ascii="Consolas" w:hAnsi="Consolas"/>
          <w:color w:val="552B00"/>
          <w:sz w:val="19"/>
        </w:rPr>
        <w:t>value_tier</w:t>
      </w:r>
      <w:r>
        <w:rPr/>
        <w:t>, по депозитам за предыдущие 90 дней): низкий, средний, высокий. Пороги задаются по распределению базы, например нижние 50%, следующие 40%, верхние 10%.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Исключены:</w:t>
      </w:r>
      <w:r>
        <w:rPr/>
        <w:t xml:space="preserve"> RG High (и это же условие выхода); игроки, которые уже в VIP-сценарии возврата, игроки под проверкой Risk/AML.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Без бонусных шагов:</w:t>
      </w:r>
      <w:r>
        <w:rPr/>
        <w:t xml:space="preserve"> флаг абьюза, RG Medium (у них остаётся только контент).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Предусловия на каждом сообщении</w:t>
      </w:r>
      <w:r>
        <w:rPr/>
        <w:t xml:space="preserve">, включая SMS и push через вебхук: </w:t>
      </w:r>
      <w:r>
        <w:rPr>
          <w:rFonts w:ascii="Consolas" w:hAnsi="Consolas"/>
          <w:color w:val="552B00"/>
          <w:sz w:val="19"/>
        </w:rPr>
        <w:t>self_excluded != true</w:t>
      </w:r>
      <w:r>
        <w:rPr/>
        <w:t xml:space="preserve">, </w:t>
      </w:r>
      <w:r>
        <w:rPr>
          <w:rFonts w:ascii="Consolas" w:hAnsi="Consolas"/>
          <w:color w:val="552B00"/>
          <w:sz w:val="19"/>
        </w:rPr>
        <w:t>rg_risk_tier != High</w:t>
      </w:r>
      <w:r>
        <w:rPr/>
        <w:t>, нет активного тайм-аута.</w:t>
      </w:r>
    </w:p>
    <w:p>
      <w:pPr>
        <w:pStyle w:val="Heading2"/>
      </w:pPr>
      <w:r/>
      <w:r>
        <w:rPr/>
        <w:t>Сценарий</w:t>
      </w:r>
    </w:p>
    <w:p>
      <w:r>
        <w:rPr/>
      </w:r>
      <w:r>
        <w:rPr>
          <w:b/>
        </w:rPr>
        <w:t>Вход и деление</w:t>
      </w:r>
      <w:r>
        <w:rP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3"/>
        <w:gridCol w:w="1987"/>
        <w:gridCol w:w="6091"/>
      </w:tblGrid>
      <w:tr>
        <w:tc>
          <w:tcPr>
            <w:tcW w:type="dxa" w:w="133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type="dxa" w:w="198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Блок</w:t>
            </w:r>
          </w:p>
        </w:tc>
        <w:tc>
          <w:tcPr>
            <w:tcW w:type="dxa" w:w="609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происходит</w:t>
            </w:r>
          </w:p>
        </w:tc>
      </w:tr>
      <w:tr>
        <w:tc>
          <w:tcPr>
            <w:tcW w:type="dxa" w:w="1333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9"/>
              </w:rPr>
              <w:t>Вход в сегмент</w:t>
            </w:r>
          </w:p>
        </w:tc>
        <w:tc>
          <w:tcPr>
            <w:tcW w:type="dxa" w:w="6091"/>
          </w:tcPr>
          <w:p>
            <w:pPr>
              <w:spacing w:after="0"/>
            </w:pPr>
            <w:r>
              <w:rPr>
                <w:sz w:val="19"/>
              </w:rPr>
              <w:t xml:space="preserve">игрок попал в </w:t>
            </w:r>
            <w:r>
              <w:rPr>
                <w:i/>
                <w:sz w:val="19"/>
              </w:rPr>
              <w:t>Cooling</w:t>
            </w:r>
            <w:r>
              <w:rPr>
                <w:sz w:val="19"/>
              </w:rPr>
              <w:t xml:space="preserve"> (14-90 дней без депозита)</w:t>
            </w:r>
          </w:p>
        </w:tc>
      </w:tr>
      <w:tr>
        <w:tc>
          <w:tcPr>
            <w:tcW w:type="dxa" w:w="1333"/>
          </w:tcPr>
          <w:p>
            <w:pPr>
              <w:spacing w:after="0"/>
            </w:pPr>
            <w:r>
              <w:rPr>
                <w:sz w:val="19"/>
              </w:rPr>
              <w:t>0a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9"/>
              </w:rPr>
              <w:t>Случайное деление</w:t>
            </w:r>
          </w:p>
        </w:tc>
        <w:tc>
          <w:tcPr>
            <w:tcW w:type="dxa" w:w="6091"/>
          </w:tcPr>
          <w:p>
            <w:pPr>
              <w:spacing w:after="0"/>
            </w:pPr>
            <w:r>
              <w:rPr>
                <w:sz w:val="19"/>
              </w:rPr>
              <w:t xml:space="preserve">85% - сценарий, 15% - контроль (для высокой ценности 75/25); группа пишется в </w:t>
            </w:r>
            <w:r>
              <w:rPr>
                <w:rFonts w:ascii="Consolas" w:hAnsi="Consolas"/>
                <w:color w:val="552B00"/>
                <w:sz w:val="19"/>
              </w:rPr>
              <w:t>winback_group</w:t>
            </w:r>
          </w:p>
        </w:tc>
      </w:tr>
      <w:tr>
        <w:tc>
          <w:tcPr>
            <w:tcW w:type="dxa" w:w="1333"/>
          </w:tcPr>
          <w:p>
            <w:pPr>
              <w:spacing w:after="0"/>
            </w:pPr>
            <w:r>
              <w:rPr>
                <w:sz w:val="19"/>
              </w:rPr>
              <w:t>0b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9"/>
              </w:rPr>
              <w:t>Контроль</w:t>
            </w:r>
          </w:p>
        </w:tc>
        <w:tc>
          <w:tcPr>
            <w:tcW w:type="dxa" w:w="6091"/>
          </w:tcPr>
          <w:p>
            <w:pPr>
              <w:spacing w:after="0"/>
            </w:pPr>
            <w:r>
              <w:rPr>
                <w:sz w:val="19"/>
              </w:rPr>
              <w:t>ничего не получает 45 дней, его депозиты считаются так же</w:t>
            </w:r>
          </w:p>
        </w:tc>
      </w:tr>
      <w:tr>
        <w:tc>
          <w:tcPr>
            <w:tcW w:type="dxa" w:w="1333"/>
          </w:tcPr>
          <w:p>
            <w:pPr>
              <w:spacing w:after="0"/>
            </w:pPr>
            <w:r>
              <w:rPr>
                <w:sz w:val="19"/>
              </w:rPr>
              <w:t>0c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9"/>
              </w:rPr>
              <w:t xml:space="preserve">Ветка по </w:t>
            </w:r>
            <w:r>
              <w:rPr>
                <w:rFonts w:ascii="Consolas" w:hAnsi="Consolas"/>
                <w:color w:val="552B00"/>
                <w:sz w:val="19"/>
              </w:rPr>
              <w:t>value_tier</w:t>
            </w:r>
          </w:p>
        </w:tc>
        <w:tc>
          <w:tcPr>
            <w:tcW w:type="dxa" w:w="6091"/>
          </w:tcPr>
          <w:p>
            <w:pPr>
              <w:spacing w:after="0"/>
            </w:pPr>
            <w:r>
              <w:rPr>
                <w:sz w:val="19"/>
              </w:rPr>
              <w:t>низкий / средний / высокий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Шаги по уровням</w:t>
      </w:r>
      <w:r>
        <w:rP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8"/>
        <w:gridCol w:w="1781"/>
        <w:gridCol w:w="3681"/>
        <w:gridCol w:w="2961"/>
      </w:tblGrid>
      <w:tr>
        <w:tc>
          <w:tcPr>
            <w:tcW w:type="dxa" w:w="98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День</w:t>
            </w:r>
          </w:p>
        </w:tc>
        <w:tc>
          <w:tcPr>
            <w:tcW w:type="dxa" w:w="178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Низкая ценность</w:t>
            </w:r>
          </w:p>
        </w:tc>
        <w:tc>
          <w:tcPr>
            <w:tcW w:type="dxa" w:w="368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Средняя ценность</w:t>
            </w:r>
          </w:p>
        </w:tc>
        <w:tc>
          <w:tcPr>
            <w:tcW w:type="dxa" w:w="296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Высокая ценность</w:t>
            </w:r>
          </w:p>
        </w:tc>
      </w:tr>
      <w:tr>
        <w:tc>
          <w:tcPr>
            <w:tcW w:type="dxa" w:w="988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781"/>
          </w:tcPr>
          <w:p>
            <w:pPr>
              <w:spacing w:after="0"/>
            </w:pPr>
            <w:r>
              <w:rPr>
                <w:sz w:val="19"/>
              </w:rPr>
              <w:t>Email: персональный игровой контент (новинки в его любимой категории)</w:t>
            </w:r>
          </w:p>
        </w:tc>
        <w:tc>
          <w:tcPr>
            <w:tcW w:type="dxa" w:w="3681"/>
          </w:tcPr>
          <w:p>
            <w:pPr>
              <w:spacing w:after="0"/>
            </w:pPr>
            <w:r>
              <w:rPr>
                <w:sz w:val="19"/>
              </w:rPr>
              <w:t>Email: "как дела?" + персональный контент</w:t>
            </w:r>
          </w:p>
        </w:tc>
        <w:tc>
          <w:tcPr>
            <w:tcW w:type="dxa" w:w="2961"/>
          </w:tcPr>
          <w:p>
            <w:pPr>
              <w:spacing w:after="0"/>
            </w:pPr>
            <w:r>
              <w:rPr>
                <w:sz w:val="19"/>
              </w:rPr>
              <w:t>Задача VIP-менеджеру; личный email от менеджера</w:t>
            </w:r>
          </w:p>
        </w:tc>
      </w:tr>
      <w:tr>
        <w:tc>
          <w:tcPr>
            <w:tcW w:type="dxa" w:w="988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781"/>
          </w:tcPr>
          <w:p>
            <w:pPr>
              <w:spacing w:after="0"/>
            </w:pPr>
            <w:r>
              <w:rPr>
                <w:sz w:val="19"/>
              </w:rPr>
              <w:t>Email: рекомендация игры</w:t>
            </w:r>
          </w:p>
        </w:tc>
        <w:tc>
          <w:tcPr>
            <w:tcW w:type="dxa" w:w="3681"/>
          </w:tcPr>
          <w:p>
            <w:pPr>
              <w:spacing w:after="0"/>
            </w:pPr>
            <w:r>
              <w:rPr>
                <w:sz w:val="19"/>
              </w:rPr>
              <w:t>Email: рекомендация игры</w:t>
            </w:r>
          </w:p>
        </w:tc>
        <w:tc>
          <w:tcPr>
            <w:tcW w:type="dxa" w:w="2961"/>
          </w:tcPr>
          <w:p>
            <w:pPr>
              <w:spacing w:after="0"/>
            </w:pPr>
            <w:r>
              <w:rPr>
                <w:sz w:val="19"/>
              </w:rPr>
              <w:t>Звонок или сообщение от менеджера</w:t>
            </w:r>
          </w:p>
        </w:tc>
      </w:tr>
      <w:tr>
        <w:tc>
          <w:tcPr>
            <w:tcW w:type="dxa" w:w="988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1781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681"/>
          </w:tcPr>
          <w:p>
            <w:pPr>
              <w:spacing w:after="0"/>
            </w:pPr>
            <w:r>
              <w:rPr>
                <w:sz w:val="19"/>
              </w:rPr>
              <w:t>Push: фриспины без депозита, с лимитом выигрыша</w:t>
            </w:r>
          </w:p>
        </w:tc>
        <w:tc>
          <w:tcPr>
            <w:tcW w:type="dxa" w:w="2961"/>
          </w:tcPr>
          <w:p>
            <w:pPr>
              <w:spacing w:after="0"/>
            </w:pPr>
            <w:r>
              <w:rPr>
                <w:sz w:val="19"/>
              </w:rPr>
              <w:t>Фриспины, согласованные менеджером</w:t>
            </w:r>
          </w:p>
        </w:tc>
      </w:tr>
      <w:tr>
        <w:tc>
          <w:tcPr>
            <w:tcW w:type="dxa" w:w="988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781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681"/>
          </w:tcPr>
          <w:p>
            <w:pPr>
              <w:spacing w:after="0"/>
            </w:pPr>
            <w:r>
              <w:rPr>
                <w:sz w:val="19"/>
              </w:rPr>
              <w:t>Email: персональный reload, срок 48 ч, условия рядом</w:t>
            </w:r>
          </w:p>
        </w:tc>
        <w:tc>
          <w:tcPr>
            <w:tcW w:type="dxa" w:w="2961"/>
          </w:tcPr>
          <w:p>
            <w:pPr>
              <w:spacing w:after="0"/>
            </w:pPr>
            <w:r>
              <w:rPr>
                <w:sz w:val="19"/>
              </w:rPr>
              <w:t>Персональный оффер от менеджера</w:t>
            </w:r>
          </w:p>
        </w:tc>
      </w:tr>
      <w:tr>
        <w:tc>
          <w:tcPr>
            <w:tcW w:type="dxa" w:w="988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1781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681"/>
          </w:tcPr>
          <w:p>
            <w:pPr>
              <w:spacing w:after="0"/>
            </w:pPr>
            <w:r>
              <w:rPr>
                <w:sz w:val="19"/>
              </w:rPr>
              <w:t>SMS: последний толчок</w:t>
            </w:r>
          </w:p>
        </w:tc>
        <w:tc>
          <w:tcPr>
            <w:tcW w:type="dxa" w:w="2961"/>
          </w:tcPr>
          <w:p>
            <w:pPr>
              <w:spacing w:after="0"/>
            </w:pPr>
            <w:r>
              <w:rPr>
                <w:sz w:val="19"/>
              </w:rPr>
              <w:t>Повторный контакт менеджера</w:t>
            </w:r>
          </w:p>
        </w:tc>
      </w:tr>
      <w:tr>
        <w:tc>
          <w:tcPr>
            <w:tcW w:type="dxa" w:w="988"/>
          </w:tcPr>
          <w:p>
            <w:pPr>
              <w:spacing w:after="0"/>
            </w:pPr>
            <w:r>
              <w:rPr>
                <w:sz w:val="19"/>
              </w:rPr>
              <w:t>21</w:t>
            </w:r>
          </w:p>
        </w:tc>
        <w:tc>
          <w:tcPr>
            <w:tcW w:type="dxa" w:w="1781"/>
          </w:tcPr>
          <w:p>
            <w:pPr>
              <w:spacing w:after="0"/>
            </w:pPr>
            <w:r>
              <w:rPr>
                <w:sz w:val="19"/>
              </w:rPr>
              <w:t>Email: дайджест новинок</w:t>
            </w:r>
          </w:p>
        </w:tc>
        <w:tc>
          <w:tcPr>
            <w:tcW w:type="dxa" w:w="3681"/>
          </w:tcPr>
          <w:p>
            <w:pPr>
              <w:spacing w:after="0"/>
            </w:pPr>
            <w:r>
              <w:rPr>
                <w:sz w:val="19"/>
              </w:rPr>
              <w:t>Email: игровой челлендж (геймификация)</w:t>
            </w:r>
          </w:p>
        </w:tc>
        <w:tc>
          <w:tcPr>
            <w:tcW w:type="dxa" w:w="2961"/>
          </w:tcPr>
          <w:p>
            <w:pPr>
              <w:spacing w:after="0"/>
            </w:pPr>
            <w:r>
              <w:rPr>
                <w:sz w:val="19"/>
              </w:rPr>
              <w:t>Ведёт менеджер</w:t>
            </w:r>
          </w:p>
        </w:tc>
      </w:tr>
      <w:tr>
        <w:tc>
          <w:tcPr>
            <w:tcW w:type="dxa" w:w="988"/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1781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681"/>
          </w:tcPr>
          <w:p>
            <w:pPr>
              <w:spacing w:after="0"/>
            </w:pPr>
            <w:r>
              <w:rPr>
                <w:sz w:val="19"/>
              </w:rPr>
              <w:t>Email: "мы скучаем" + оффер посильнее, если предыдущие не сработали</w:t>
            </w:r>
          </w:p>
        </w:tc>
        <w:tc>
          <w:tcPr>
            <w:tcW w:type="dxa" w:w="2961"/>
          </w:tcPr>
          <w:p>
            <w:pPr>
              <w:spacing w:after="0"/>
            </w:pPr>
            <w:r>
              <w:rPr>
                <w:sz w:val="19"/>
              </w:rPr>
              <w:t>Ведёт менеджер</w:t>
            </w:r>
          </w:p>
        </w:tc>
      </w:tr>
      <w:tr>
        <w:tc>
          <w:tcPr>
            <w:tcW w:type="dxa" w:w="988"/>
          </w:tcPr>
          <w:p>
            <w:pPr>
              <w:spacing w:after="0"/>
            </w:pPr>
            <w:r>
              <w:rPr>
                <w:sz w:val="19"/>
              </w:rPr>
              <w:t>35</w:t>
            </w:r>
          </w:p>
        </w:tc>
        <w:tc>
          <w:tcPr>
            <w:tcW w:type="dxa" w:w="1781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3681"/>
          </w:tcPr>
          <w:p>
            <w:pPr>
              <w:spacing w:after="0"/>
            </w:pPr>
            <w:r>
              <w:rPr>
                <w:sz w:val="19"/>
              </w:rPr>
              <w:t>SMS или push: последний контакт, другой формат</w:t>
            </w:r>
          </w:p>
        </w:tc>
        <w:tc>
          <w:tcPr>
            <w:tcW w:type="dxa" w:w="2961"/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>
        <w:tc>
          <w:tcPr>
            <w:tcW w:type="dxa" w:w="988"/>
          </w:tcPr>
          <w:p>
            <w:pPr>
              <w:spacing w:after="0"/>
            </w:pPr>
            <w:r>
              <w:rPr>
                <w:sz w:val="19"/>
              </w:rPr>
              <w:t>45</w:t>
            </w:r>
          </w:p>
        </w:tc>
        <w:tc>
          <w:tcPr>
            <w:tcW w:type="dxa" w:w="1781"/>
          </w:tcPr>
          <w:p>
            <w:pPr>
              <w:spacing w:after="0"/>
            </w:pPr>
            <w:r>
              <w:rPr>
                <w:sz w:val="19"/>
              </w:rPr>
              <w:t xml:space="preserve">Выход -&gt; </w:t>
            </w:r>
            <w:r>
              <w:rPr>
                <w:i/>
                <w:sz w:val="19"/>
              </w:rPr>
              <w:t>Low frequency</w:t>
            </w:r>
          </w:p>
        </w:tc>
        <w:tc>
          <w:tcPr>
            <w:tcW w:type="dxa" w:w="3681"/>
          </w:tcPr>
          <w:p>
            <w:pPr>
              <w:spacing w:after="0"/>
            </w:pPr>
            <w:r>
              <w:rPr>
                <w:sz w:val="19"/>
              </w:rPr>
              <w:t xml:space="preserve">Выход -&gt; </w:t>
            </w:r>
            <w:r>
              <w:rPr>
                <w:i/>
                <w:sz w:val="19"/>
              </w:rPr>
              <w:t>Low frequency</w:t>
            </w:r>
          </w:p>
        </w:tc>
        <w:tc>
          <w:tcPr>
            <w:tcW w:type="dxa" w:w="2961"/>
          </w:tcPr>
          <w:p>
            <w:pPr>
              <w:spacing w:after="0"/>
            </w:pPr>
            <w:r>
              <w:rPr>
                <w:sz w:val="19"/>
              </w:rPr>
              <w:t xml:space="preserve">Ревью менеджера: продолжить личный контакт или перевести в </w:t>
            </w:r>
            <w:r>
              <w:rPr>
                <w:i/>
                <w:sz w:val="19"/>
              </w:rPr>
              <w:t>Low frequency</w:t>
            </w:r>
          </w:p>
        </w:tc>
      </w:tr>
    </w:tbl>
    <w:p>
      <w:pPr>
        <w:spacing w:after="40"/>
      </w:pPr>
    </w:p>
    <w:p>
      <w:r>
        <w:rPr/>
        <w:t>Каждый шаг отправляется, только если у игрока ещё нет депозита и он проходит предусловия. Если RG-риск вырос до High посреди сценария, следующий шаг не отправляется, и игрок выходит.</w:t>
      </w:r>
    </w:p>
    <w:p>
      <w:pPr>
        <w:pStyle w:val="Heading2"/>
      </w:pPr>
      <w:r/>
      <w:r>
        <w:rPr/>
        <w:t>Офферы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Фриспины вместо кэшбэка.</w:t>
      </w:r>
      <w:r>
        <w:rPr/>
        <w:t xml:space="preserve"> Фриспины дают небольшой ограниченный повод снова попробовать игру. Кэшбэк возвращает часть проигрыша, а это может подталкивать отыгрываться.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По нарастающей.</w:t>
      </w:r>
      <w:r>
        <w:rPr/>
        <w:t xml:space="preserve"> Стимул растёт, только если дешёвый шаг не сработал.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Размер оффера</w:t>
      </w:r>
      <w:r>
        <w:rPr/>
        <w:t xml:space="preserve"> выбирается тестом. По умолчанию самый дешёвый вариант, который работает; более крупный - для более ценных игроков.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Низкая ценность</w:t>
      </w:r>
      <w:r>
        <w:rPr/>
        <w:t xml:space="preserve"> получает только контент: бонус там стоит больше, чем приносит вернувшийся игрок.</w:t>
      </w:r>
    </w:p>
    <w:p>
      <w:pPr>
        <w:pStyle w:val="Heading2"/>
      </w:pPr>
      <w:r/>
      <w:r>
        <w:rPr/>
        <w:t>Измерение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07"/>
        <w:gridCol w:w="3504"/>
      </w:tblGrid>
      <w:tr>
        <w:tc>
          <w:tcPr>
            <w:tcW w:type="dxa" w:w="590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350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показывает</w:t>
            </w:r>
          </w:p>
        </w:tc>
      </w:tr>
      <w:tr>
        <w:tc>
          <w:tcPr>
            <w:tcW w:type="dxa" w:w="59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Главная:</w:t>
            </w:r>
            <w:r>
              <w:rPr>
                <w:sz w:val="19"/>
              </w:rPr>
              <w:t xml:space="preserve"> депозит за 30 дней, тест против контроля, в процентных пунктах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9"/>
              </w:rPr>
              <w:t>реальный эффект сценария</w:t>
            </w:r>
          </w:p>
        </w:tc>
      </w:tr>
      <w:tr>
        <w:tc>
          <w:tcPr>
            <w:tcW w:type="dxa" w:w="5907"/>
          </w:tcPr>
          <w:p>
            <w:pPr>
              <w:spacing w:after="0"/>
            </w:pPr>
            <w:r>
              <w:rPr>
                <w:sz w:val="19"/>
              </w:rPr>
              <w:t>То же на 7-й и 14-й день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9"/>
              </w:rPr>
              <w:t>как быстро набирается эффект</w:t>
            </w:r>
          </w:p>
        </w:tc>
      </w:tr>
      <w:tr>
        <w:tc>
          <w:tcPr>
            <w:tcW w:type="dxa" w:w="5907"/>
          </w:tcPr>
          <w:p>
            <w:pPr>
              <w:spacing w:after="0"/>
            </w:pPr>
            <w:r>
              <w:rPr>
                <w:sz w:val="19"/>
              </w:rPr>
              <w:t>Инкрементальный NGR на игрока из тестовой группы минус стоимость каналов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9"/>
              </w:rPr>
              <w:t>окупается ли сценарий</w:t>
            </w:r>
          </w:p>
        </w:tc>
      </w:tr>
      <w:tr>
        <w:tc>
          <w:tcPr>
            <w:tcW w:type="dxa" w:w="5907"/>
          </w:tcPr>
          <w:p>
            <w:pPr>
              <w:spacing w:after="0"/>
            </w:pPr>
            <w:r>
              <w:rPr>
                <w:sz w:val="19"/>
              </w:rPr>
              <w:t>Депозиты за 60 дней после возврата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9"/>
              </w:rPr>
              <w:t>остался ли игрок или пришёл за одним оффером</w:t>
            </w:r>
          </w:p>
        </w:tc>
      </w:tr>
      <w:tr>
        <w:tc>
          <w:tcPr>
            <w:tcW w:type="dxa" w:w="5907"/>
          </w:tcPr>
          <w:p>
            <w:pPr>
              <w:spacing w:after="0"/>
            </w:pPr>
            <w:r>
              <w:rPr>
                <w:sz w:val="19"/>
              </w:rPr>
              <w:t>Стоимость бонусов на один инкрементальный возврат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9"/>
              </w:rPr>
              <w:t>цена результата</w:t>
            </w:r>
          </w:p>
        </w:tc>
      </w:tr>
      <w:tr>
        <w:tc>
          <w:tcPr>
            <w:tcW w:type="dxa" w:w="59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Защитные:</w:t>
            </w:r>
            <w:r>
              <w:rPr>
                <w:sz w:val="19"/>
              </w:rPr>
              <w:t xml:space="preserve"> отписки, жалобы на спам, изменения RG-риска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9"/>
              </w:rPr>
              <w:t>цена для базы и для игрока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Приложение: воркфлоу в Customer.io</w:t>
      </w:r>
    </w:p>
    <w:p>
      <w:r>
        <w:drawing>
          <wp:inline xmlns:a="http://schemas.openxmlformats.org/drawingml/2006/main" xmlns:pic="http://schemas.openxmlformats.org/drawingml/2006/picture">
            <wp:extent cx="5976000" cy="7445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ered-reactiv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4457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