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VIP-цикл на событиях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удержание VIP строится на отношениях, а CRM вовремя сообщает VIP-менеджеру, что происходит с игроком: стал VIP, вырос, замедлился, затих, показывает признаки риска.</w:t>
      </w:r>
    </w:p>
    <w:p>
      <w:pPr>
        <w:pStyle w:val="Heading2"/>
      </w:pPr>
      <w:r/>
      <w:r>
        <w:rPr/>
        <w:t>Задача</w:t>
      </w:r>
    </w:p>
    <w:p>
      <w:r>
        <w:rPr/>
        <w:t>Обычно небольшая группа игроков приносит казино большую часть выручки. Потеря одного VIP может стоить больше, чем зарабатывает массовая кампания, а менеджер, который узнаёт о спаде через 30 дней, как правило, уже опоздал. При этом высокая интенсивность игры - это одновременно VIP-сигнал и сигнал риска, поэтому каждое коммерческое действие проходит через RG и AML.</w:t>
      </w:r>
    </w:p>
    <w:p>
      <w:r>
        <w:rPr/>
      </w:r>
      <w:r>
        <w:rPr>
          <w:b/>
        </w:rPr>
        <w:t>Гипотеза:</w:t>
      </w:r>
      <w:r>
        <w:rPr/>
        <w:t xml:space="preserve"> сервисный контакт менеджера в первые 48 часов после раннего сигнала спада удерживает VIP лучше, чем бонус после 30 дней тишины, и стоит дешевле.</w:t>
      </w:r>
    </w:p>
    <w:p>
      <w:pPr>
        <w:pStyle w:val="Heading2"/>
      </w:pPr>
      <w:r/>
      <w:r>
        <w:rPr/>
        <w:t>Паспорт кампании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7896"/>
      </w:tblGrid>
      <w:tr>
        <w:tc>
          <w:tcPr>
            <w:tcW w:type="dxa" w:w="151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89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Тип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набор триггерных модулей по событиям и смене атрибутов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Аудитория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</w:t>
            </w:r>
            <w:r>
              <w:rPr>
                <w:sz w:val="19"/>
              </w:rPr>
              <w:t xml:space="preserve"> = VIP или Super VIP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Главные события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 изменился,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Цель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депозит в каждом 30-дневном окне, NGR на VIP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Глобальный выход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самоисключение или тайм-аут -&gt; комплаенс-уведомление, все модули останавливаются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Приоритет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выше онбординга и реактивации; ниже сервиса и неудачного депозита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Каналы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VIP-менеджер (главный), email, in-app, SMS только по решению менеджера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Холдаут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 xml:space="preserve">5% на VIP-письме с бонусом после 30 дней тишины, группа закреплена за игроком в </w:t>
            </w:r>
            <w:r>
              <w:rPr>
                <w:rFonts w:ascii="Consolas" w:hAnsi="Consolas"/>
                <w:color w:val="552B00"/>
                <w:sz w:val="19"/>
              </w:rPr>
              <w:t>vip_bonus_group</w:t>
            </w:r>
            <w:r>
              <w:rPr>
                <w:sz w:val="19"/>
              </w:rPr>
              <w:t>, 50/50 на проактивных звонках по раннему сигналу (тест на ограниченный срок); базовый сервис (менеджер, приветствие, ответы на обращения) не тестируется никогда</w:t>
            </w:r>
          </w:p>
        </w:tc>
      </w:tr>
      <w:tr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Владельцы</w:t>
            </w:r>
          </w:p>
        </w:tc>
        <w:tc>
          <w:tcPr>
            <w:tcW w:type="dxa" w:w="7896"/>
          </w:tcPr>
          <w:p>
            <w:pPr>
              <w:spacing w:after="0"/>
            </w:pPr>
            <w:r>
              <w:rPr>
                <w:sz w:val="19"/>
              </w:rPr>
              <w:t>CRM (сигналы, сообщения), VIP-менеджеры (контакт, офферы), руководитель VIP (понижения), RG/комплаенс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Допуск и условия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Перед любым VIP-вознаграждением:</w:t>
      </w:r>
      <w:r>
        <w:rPr/>
        <w:t xml:space="preserve"> RG-риск Low, пройдена AML-проверка (включая источник средств, где это требуется), нет открытой жалобы или проверки.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Резкий рост игры</w:t>
      </w:r>
      <w:r>
        <w:rPr/>
        <w:t xml:space="preserve"> (депозиты, время сессий, ставки выше привычного уровня игрока) - сначала сигнал для RG-команды.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Резкий спад</w:t>
      </w:r>
      <w:r>
        <w:rPr/>
        <w:t xml:space="preserve"> может быть осознанным решением игрока сократить игру. Менеджер видит RG-статус и наличие лимитов до звонка.</w:t>
      </w:r>
    </w:p>
    <w:p>
      <w:pPr>
        <w:pStyle w:val="Heading2"/>
      </w:pPr>
      <w:r/>
      <w:r>
        <w:rPr/>
        <w:t xml:space="preserve">Ранний сигнал: как считается </w:t>
      </w:r>
      <w:r>
        <w:rPr>
          <w:rFonts w:ascii="Consolas" w:hAnsi="Consolas"/>
          <w:color w:val="552B00"/>
          <w:sz w:val="19"/>
        </w:rPr>
        <w:t>vip_risk_tier</w:t>
      </w:r>
    </w:p>
    <w:p>
      <w:r>
        <w:rPr/>
        <w:t>Атрибут пересчитывается каждый день и сравнивает игрока с его собственным ритмом: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5989"/>
        <w:gridCol w:w="1579"/>
      </w:tblGrid>
      <w:tr>
        <w:tc>
          <w:tcPr>
            <w:tcW w:type="dxa" w:w="184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Сигнал</w:t>
            </w:r>
          </w:p>
        </w:tc>
        <w:tc>
          <w:tcPr>
            <w:tcW w:type="dxa" w:w="598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Сравнение</w:t>
            </w:r>
          </w:p>
        </w:tc>
        <w:tc>
          <w:tcPr>
            <w:tcW w:type="dxa" w:w="157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Баллы</w:t>
            </w:r>
          </w:p>
        </w:tc>
      </w:tr>
      <w:tr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Частота депозитов</w:t>
            </w:r>
          </w:p>
        </w:tc>
        <w:tc>
          <w:tcPr>
            <w:tcW w:type="dxa" w:w="5989"/>
          </w:tcPr>
          <w:p>
            <w:pPr>
              <w:spacing w:after="0"/>
            </w:pPr>
            <w:r>
              <w:rPr>
                <w:sz w:val="19"/>
              </w:rPr>
              <w:t>последние 14 дней против 28 дней до этого: ниже половины</w:t>
            </w:r>
          </w:p>
        </w:tc>
        <w:tc>
          <w:tcPr>
            <w:tcW w:type="dxa" w:w="157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5989"/>
          </w:tcPr>
          <w:p>
            <w:pPr>
              <w:spacing w:after="0"/>
            </w:pPr>
            <w:r>
              <w:rPr>
                <w:sz w:val="19"/>
              </w:rPr>
              <w:t>активные дни, ниже половины нормы</w:t>
            </w:r>
          </w:p>
        </w:tc>
        <w:tc>
          <w:tcPr>
            <w:tcW w:type="dxa" w:w="157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Ставка</w:t>
            </w:r>
          </w:p>
        </w:tc>
        <w:tc>
          <w:tcPr>
            <w:tcW w:type="dxa" w:w="5989"/>
          </w:tcPr>
          <w:p>
            <w:pPr>
              <w:spacing w:after="0"/>
            </w:pPr>
            <w:r>
              <w:rPr>
                <w:sz w:val="19"/>
              </w:rPr>
              <w:t>объём ставок, ниже половины нормы</w:t>
            </w:r>
          </w:p>
        </w:tc>
        <w:tc>
          <w:tcPr>
            <w:tcW w:type="dxa" w:w="157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Просрочка</w:t>
            </w:r>
          </w:p>
        </w:tc>
        <w:tc>
          <w:tcPr>
            <w:tcW w:type="dxa" w:w="5989"/>
          </w:tcPr>
          <w:p>
            <w:pPr>
              <w:spacing w:after="0"/>
            </w:pPr>
            <w:r>
              <w:rPr>
                <w:sz w:val="19"/>
              </w:rPr>
              <w:t>дни с последнего депозита ÷ обычный интервал игрока: больше 2</w:t>
            </w:r>
          </w:p>
        </w:tc>
        <w:tc>
          <w:tcPr>
            <w:tcW w:type="dxa" w:w="157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/>
        <w:t>4 балла и больше - High</w:t>
      </w:r>
    </w:p>
    <w:p>
      <w:pPr>
        <w:pStyle w:val="Heading2"/>
      </w:pPr>
      <w:r/>
      <w:r>
        <w:rPr/>
        <w:t>Сценарий: модули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812"/>
        <w:gridCol w:w="3918"/>
        <w:gridCol w:w="887"/>
        <w:gridCol w:w="1401"/>
      </w:tblGrid>
      <w:tr>
        <w:tc>
          <w:tcPr>
            <w:tcW w:type="dxa" w:w="139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181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Триггер</w:t>
            </w:r>
          </w:p>
        </w:tc>
        <w:tc>
          <w:tcPr>
            <w:tcW w:type="dxa" w:w="391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Действия</w:t>
            </w:r>
          </w:p>
        </w:tc>
        <w:tc>
          <w:tcPr>
            <w:tcW w:type="dxa" w:w="88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Ответственный</w:t>
            </w:r>
          </w:p>
        </w:tc>
        <w:tc>
          <w:tcPr>
            <w:tcW w:type="dxa" w:w="140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Условия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A. Вход в VIP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 -&gt; VIP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1) задача менеджеру через вебхук; 2) email "знакомьтесь, ваш менеджер" от имени менеджера; 3) через 2 ч email о привилегиях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CRM + менеджер</w:t>
            </w:r>
          </w:p>
        </w:tc>
        <w:tc>
          <w:tcPr>
            <w:tcW w:type="dxa" w:w="1401"/>
          </w:tcPr>
          <w:p>
            <w:pPr>
              <w:spacing w:after="0"/>
            </w:pPr>
            <w:r>
              <w:rPr>
                <w:sz w:val="19"/>
              </w:rPr>
              <w:t>нет самоисключения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B. Повышение уровня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 вверх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in-app поздравление; email о привилегиях нового уровня; уведомление менеджеру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1401"/>
          </w:tcPr>
          <w:p>
            <w:pPr>
              <w:spacing w:after="0"/>
            </w:pPr>
            <w:r>
              <w:rPr>
                <w:sz w:val="19"/>
              </w:rPr>
              <w:t>RG Low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C. Ранний сигнал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 -&gt; High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 xml:space="preserve">задача менеджеру: контакт в течение 48 ч, только сервис (всё ли в порядке, что улучшить, подходящее событие или игра), </w:t>
            </w:r>
            <w:r>
              <w:rPr>
                <w:b/>
                <w:sz w:val="19"/>
              </w:rPr>
              <w:t>без бонуса</w:t>
            </w:r>
            <w:r>
              <w:rPr>
                <w:sz w:val="19"/>
              </w:rPr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менеджер</w:t>
            </w:r>
          </w:p>
        </w:tc>
        <w:tc>
          <w:tcPr>
            <w:tcW w:type="dxa" w:w="1401"/>
          </w:tcPr>
          <w:p>
            <w:pPr>
              <w:spacing w:after="0"/>
            </w:pPr>
            <w:r>
              <w:rPr>
                <w:sz w:val="19"/>
              </w:rPr>
              <w:t>RG-статус виден менеджеру до звонка; нет свежего лимита или тайм-аута, поставленного игроком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D. 14 дней без депозита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  <w:t xml:space="preserve">атрибут </w:t>
            </w:r>
            <w:r>
              <w:rPr>
                <w:rFonts w:ascii="Consolas" w:hAnsi="Consolas"/>
                <w:color w:val="552B00"/>
                <w:sz w:val="19"/>
              </w:rPr>
              <w:t>days_since_deposit = 14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персональный оффер от менеджера после проверки RG/AML; это следующий шаг, если сервисный контакт (C) не вернул игрока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менеджер + CRM</w:t>
            </w:r>
          </w:p>
        </w:tc>
        <w:tc>
          <w:tcPr>
            <w:tcW w:type="dxa" w:w="1401"/>
          </w:tcPr>
          <w:p>
            <w:pPr>
              <w:spacing w:after="0"/>
            </w:pPr>
            <w:r>
              <w:rPr>
                <w:sz w:val="19"/>
              </w:rPr>
              <w:t>RG Low, AML пройден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E. 30 дней без депозита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days_since_deposit = 30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уведомление менеджеру о риске оттока; случайное деление 95/5; 95% - персональное VIP-письмо с бонусом; ждать депозит 30 дней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1401"/>
          </w:tcPr>
          <w:p>
            <w:pPr>
              <w:spacing w:after="0"/>
            </w:pPr>
            <w:r>
              <w:rPr>
                <w:sz w:val="19"/>
              </w:rPr>
              <w:t>RG Low, AML пройден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F. 60 дней без депозита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days_since_deposit = 60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сигнал на понижение, VIP-ревью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руководитель VIP</w:t>
            </w:r>
          </w:p>
        </w:tc>
        <w:tc>
          <w:tcPr>
            <w:tcW w:type="dxa" w:w="1401"/>
          </w:tcPr>
          <w:p>
            <w:pPr>
              <w:spacing w:after="0"/>
            </w:pP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G. Растут RG-маркеры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 -&gt; Medium или High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все промо на паузе, задача RG-команде, менеджер получает уведомление "только по согласованию с RG"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RG / комплаенс</w:t>
            </w:r>
          </w:p>
        </w:tc>
        <w:tc>
          <w:tcPr>
            <w:tcW w:type="dxa" w:w="1401"/>
          </w:tcPr>
          <w:p>
            <w:pPr>
              <w:spacing w:after="0"/>
            </w:pP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sz w:val="19"/>
              </w:rPr>
              <w:t>H. Самоисключение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self_excluded</w:t>
            </w:r>
          </w:p>
        </w:tc>
        <w:tc>
          <w:tcPr>
            <w:tcW w:type="dxa" w:w="3918"/>
          </w:tcPr>
          <w:p>
            <w:pPr>
              <w:spacing w:after="0"/>
            </w:pPr>
            <w:r>
              <w:rPr>
                <w:sz w:val="19"/>
              </w:rPr>
              <w:t>уведомление в комплаенс и менеджеру, остановка всех модулей</w:t>
            </w:r>
          </w:p>
        </w:tc>
        <w:tc>
          <w:tcPr>
            <w:tcW w:type="dxa" w:w="887"/>
          </w:tcPr>
          <w:p>
            <w:pPr>
              <w:spacing w:after="0"/>
            </w:pPr>
            <w:r>
              <w:rPr>
                <w:sz w:val="19"/>
              </w:rPr>
              <w:t>комплаенс</w:t>
            </w:r>
          </w:p>
        </w:tc>
        <w:tc>
          <w:tcPr>
            <w:tcW w:type="dxa" w:w="1401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/>
        <w:t>Модули независимы и могут срабатывать в любом порядке, сколько угодно раз за жизнь игрока в VIP. Между B, D и E действует общий лимит: не больше одного коммерческого сообщения VIP в неделю, не считая личного общения с менеджером.</w:t>
      </w:r>
    </w:p>
    <w:p>
      <w:pPr>
        <w:pStyle w:val="Heading2"/>
      </w:pPr>
      <w:r/>
      <w:r>
        <w:rPr/>
        <w:t>Офферы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Сервис раньше бонусов. VIP, который понял, что за затишье дарят подарки, будет затихать чаще.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Персональные офферы решает менеджер в пределах бюджета, который задаёт руководитель VIP.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Стоимость VIP-вознаграждений отслеживается как доля VIP GGR.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VIP-кэшбэк (если он есть) получает собственный холдаут 10%: это часто одна из самых крупных бонусных статей, и её редко тестируют.</w:t>
      </w:r>
    </w:p>
    <w:p>
      <w:pPr>
        <w:pStyle w:val="Heading2"/>
      </w:pPr>
      <w:r/>
      <w:r>
        <w:rPr/>
        <w:t>Тексты: что обязательно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Письма идут от имени конкретного менеджера, с его контактом.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Никакой срочности и никакой гонки за уровнем ("внесите ещё €500 до пятницы, чтобы получить статус").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Холдаут и в VIP-письмах тоже.</w:t>
      </w:r>
    </w:p>
    <w:p>
      <w:pPr>
        <w:pStyle w:val="Heading2"/>
      </w:pPr>
      <w:r/>
      <w:r>
        <w:rPr/>
        <w:t>Измерение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7"/>
        <w:gridCol w:w="2354"/>
      </w:tblGrid>
      <w:tr>
        <w:tc>
          <w:tcPr>
            <w:tcW w:type="dxa" w:w="705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35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70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Главные:</w:t>
            </w:r>
            <w:r>
              <w:rPr>
                <w:sz w:val="19"/>
              </w:rPr>
              <w:t xml:space="preserve"> удержание VIP (депозит в каждом 30-дневном окне), NGR на VIP</w:t>
            </w:r>
          </w:p>
        </w:tc>
        <w:tc>
          <w:tcPr>
            <w:tcW w:type="dxa" w:w="2354"/>
          </w:tcPr>
          <w:p>
            <w:pPr>
              <w:spacing w:after="0"/>
            </w:pPr>
            <w:r>
              <w:rPr>
                <w:sz w:val="19"/>
              </w:rPr>
              <w:t>работает ли программа</w:t>
            </w:r>
          </w:p>
        </w:tc>
      </w:tr>
      <w:tr>
        <w:tc>
          <w:tcPr>
            <w:tcW w:type="dxa" w:w="7057"/>
          </w:tcPr>
          <w:p>
            <w:pPr>
              <w:spacing w:after="0"/>
            </w:pPr>
            <w:r>
              <w:rPr>
                <w:sz w:val="19"/>
              </w:rPr>
              <w:t>Скорость реакции менеджеров на задачи, доля выполненных контактов</w:t>
            </w:r>
          </w:p>
        </w:tc>
        <w:tc>
          <w:tcPr>
            <w:tcW w:type="dxa" w:w="2354"/>
          </w:tcPr>
          <w:p>
            <w:pPr>
              <w:spacing w:after="0"/>
            </w:pPr>
            <w:r>
              <w:rPr>
                <w:sz w:val="19"/>
              </w:rPr>
              <w:t>работает ли процесс</w:t>
            </w:r>
          </w:p>
        </w:tc>
      </w:tr>
      <w:tr>
        <w:tc>
          <w:tcPr>
            <w:tcW w:type="dxa" w:w="7057"/>
          </w:tcPr>
          <w:p>
            <w:pPr>
              <w:spacing w:after="0"/>
            </w:pPr>
            <w:r>
              <w:rPr>
                <w:sz w:val="19"/>
              </w:rPr>
              <w:t>Повышения уровня</w:t>
            </w:r>
          </w:p>
        </w:tc>
        <w:tc>
          <w:tcPr>
            <w:tcW w:type="dxa" w:w="2354"/>
          </w:tcPr>
          <w:p>
            <w:pPr>
              <w:spacing w:after="0"/>
            </w:pPr>
            <w:r>
              <w:rPr>
                <w:sz w:val="19"/>
              </w:rPr>
              <w:t>рост</w:t>
            </w:r>
          </w:p>
        </w:tc>
      </w:tr>
      <w:tr>
        <w:tc>
          <w:tcPr>
            <w:tcW w:type="dxa" w:w="705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Защитные:</w:t>
            </w:r>
            <w:r>
              <w:rPr>
                <w:sz w:val="19"/>
              </w:rPr>
              <w:t xml:space="preserve"> изменения RG-риска среди VIP, жалобы, стоимость VIP-вознаграждений / VIP GGR</w:t>
            </w:r>
          </w:p>
        </w:tc>
        <w:tc>
          <w:tcPr>
            <w:tcW w:type="dxa" w:w="2354"/>
          </w:tcPr>
          <w:p>
            <w:pPr>
              <w:spacing w:after="0"/>
            </w:pPr>
            <w:r>
              <w:rPr>
                <w:sz w:val="19"/>
              </w:rPr>
              <w:t>цена и риск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Письмо с бонусом после 30 дней тишины (модуль E):</w:t>
      </w:r>
      <w:r>
        <w:rPr/>
        <w:t xml:space="preserve"> холдаут 5%, результаты накопительно за квартал или дольше.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Звонки по раннему сигналу (модуль C):</w:t>
      </w:r>
      <w:r>
        <w:rPr/>
        <w:t xml:space="preserve"> тест 50/50 среди VIP с высоким риском на ограниченный срок (два квартала). Главный KPI - депозит за 30 дней, дополнительный - NGR за 60 дней.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Бэктест скоринга до запуска:</w:t>
      </w:r>
      <w:r>
        <w:rPr/>
        <w:t xml:space="preserve"> точность, полнота и запас по времени против правила "14 дней без депозита".</w:t>
      </w:r>
    </w:p>
    <w:p>
      <w:r>
        <w:br w:type="page"/>
      </w:r>
    </w:p>
    <w:p>
      <w:pPr>
        <w:pStyle w:val="Heading2"/>
      </w:pPr>
      <w:r>
        <w:t>Приложение: воркфлоу в Customer.io</w:t>
      </w:r>
    </w:p>
    <w:p>
      <w:r>
        <w:drawing>
          <wp:inline xmlns:a="http://schemas.openxmlformats.org/drawingml/2006/main" xmlns:pic="http://schemas.openxmlformats.org/drawingml/2006/picture">
            <wp:extent cx="5976000" cy="443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ent-driven-v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352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