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t>Кросс-селл: спорт -&gt; казино</w:t>
      </w:r>
    </w:p>
    <w:p>
      <w:pPr>
        <w:spacing w:before="80" w:after="160"/>
        <w:ind w:left="227"/>
        <w:pBdr>
          <w:left w:val="single" w:sz="18" w:space="8" w:color="1F3A5F"/>
        </w:pBdr>
        <w:shd w:val="clear" w:color="auto" w:fill="F1F4F8"/>
      </w:pPr>
      <w:r>
        <w:rPr/>
      </w:r>
      <w:r>
        <w:rPr>
          <w:b/>
        </w:rPr>
        <w:t>Кратко:</w:t>
      </w:r>
      <w:r>
        <w:rPr/>
        <w:t xml:space="preserve"> познакомить с казино игроков на спорте, у которых уже есть хоть какой-то интерес к нему, в момент, когда они не заняты матчем. Сначала контент, потом небольшой стимул только на казино. Решение принимается по общему NGR игрока (спорт + казино), чтобы не принять перекладывание денег за рост.</w:t>
      </w:r>
    </w:p>
    <w:p>
      <w:pPr>
        <w:pStyle w:val="Heading2"/>
      </w:pPr>
      <w:r/>
      <w:r>
        <w:rPr/>
        <w:t>Задача</w:t>
      </w:r>
    </w:p>
    <w:p>
      <w:r>
        <w:rPr/>
        <w:t>Игроки, которые пользуются обоими продуктами, часто выглядят ценнее. Но это может значить лишь то, что вовлечённые игроки просто пробуют больше. Из корреляции не следует, что если навязать казино чистому беттеру, он станет ценнее. Кросс-селл имеет смысл, только если создаёт дополнительную ценность. Если деньги просто переехали из спорта в казино, мы ничего не заработали.</w:t>
      </w:r>
    </w:p>
    <w:p>
      <w:pPr>
        <w:pStyle w:val="Heading2"/>
      </w:pPr>
      <w:r/>
      <w:r>
        <w:rPr/>
        <w:t>Паспорт кампании</w:t>
      </w:r>
    </w:p>
    <w:tbl>
      <w:tblPr>
        <w:tblStyle w:val="TableGrid"/>
        <w:tblW w:type="auto" w:w="0"/>
        <w:jc w:val="center"/>
        <w:tblLayout w:type="fixed"/>
        <w:tblLook w:firstColumn="1" w:firstRow="1" w:lastColumn="0" w:lastRow="0" w:noHBand="0" w:noVBand="1" w:val="04A0"/>
      </w:tblPr>
      <w:tblGrid>
        <w:gridCol w:w="1505"/>
        <w:gridCol w:w="7906"/>
      </w:tblGrid>
      <w:tr>
        <w:tc>
          <w:tcPr>
            <w:tcW w:type="dxa" w:w="1505"/>
            <w:shd w:val="clear" w:color="auto" w:fill="DCE4EE"/>
          </w:tcPr>
          <w:p>
            <w:pPr>
              <w:spacing w:after="0"/>
            </w:pPr>
            <w:r>
              <w:rPr>
                <w:b/>
                <w:sz w:val="19"/>
              </w:rPr>
              <w:t>Параметр</w:t>
            </w:r>
          </w:p>
        </w:tc>
        <w:tc>
          <w:tcPr>
            <w:tcW w:type="dxa" w:w="7906"/>
            <w:shd w:val="clear" w:color="auto" w:fill="DCE4EE"/>
          </w:tcPr>
          <w:p>
            <w:pPr>
              <w:spacing w:after="0"/>
            </w:pPr>
            <w:r>
              <w:rPr>
                <w:b/>
                <w:sz w:val="19"/>
              </w:rPr>
              <w:t>Значение</w:t>
            </w:r>
          </w:p>
        </w:tc>
      </w:tr>
      <w:tr>
        <w:tc>
          <w:tcPr>
            <w:tcW w:type="dxa" w:w="1505"/>
          </w:tcPr>
          <w:p>
            <w:pPr>
              <w:spacing w:after="0"/>
            </w:pPr>
            <w:r>
              <w:rPr>
                <w:sz w:val="19"/>
              </w:rPr>
              <w:t>Тип</w:t>
            </w:r>
          </w:p>
        </w:tc>
        <w:tc>
          <w:tcPr>
            <w:tcW w:type="dxa" w:w="7906"/>
          </w:tcPr>
          <w:p>
            <w:pPr>
              <w:spacing w:after="0"/>
            </w:pPr>
            <w:r>
              <w:rPr>
                <w:sz w:val="19"/>
              </w:rPr>
              <w:t>запланированная волна по сегменту, раз в неделю, в спокойный день</w:t>
            </w:r>
          </w:p>
        </w:tc>
      </w:tr>
      <w:tr>
        <w:tc>
          <w:tcPr>
            <w:tcW w:type="dxa" w:w="1505"/>
          </w:tcPr>
          <w:p>
            <w:pPr>
              <w:spacing w:after="0"/>
            </w:pPr>
            <w:r>
              <w:rPr>
                <w:sz w:val="19"/>
              </w:rPr>
              <w:t>Вход</w:t>
            </w:r>
          </w:p>
        </w:tc>
        <w:tc>
          <w:tcPr>
            <w:tcW w:type="dxa" w:w="7906"/>
          </w:tcPr>
          <w:p>
            <w:pPr>
              <w:spacing w:after="0"/>
            </w:pPr>
            <w:r>
              <w:rPr>
                <w:sz w:val="19"/>
              </w:rPr>
              <w:t>только спорт: почти все ставки (например, 95%+) за 60 дней на спорт; активен за последние 14 дней; согласие на маркетинг казино</w:t>
            </w:r>
          </w:p>
        </w:tc>
      </w:tr>
      <w:tr>
        <w:tc>
          <w:tcPr>
            <w:tcW w:type="dxa" w:w="1505"/>
          </w:tcPr>
          <w:p>
            <w:pPr>
              <w:spacing w:after="0"/>
            </w:pPr>
            <w:r>
              <w:rPr>
                <w:sz w:val="19"/>
              </w:rPr>
              <w:t>Повторный вход</w:t>
            </w:r>
          </w:p>
        </w:tc>
        <w:tc>
          <w:tcPr>
            <w:tcW w:type="dxa" w:w="7906"/>
          </w:tcPr>
          <w:p>
            <w:pPr>
              <w:spacing w:after="0"/>
            </w:pPr>
            <w:r>
              <w:rPr>
                <w:sz w:val="19"/>
              </w:rPr>
              <w:t>не чаще раза в 90 дней</w:t>
            </w:r>
          </w:p>
        </w:tc>
      </w:tr>
      <w:tr>
        <w:tc>
          <w:tcPr>
            <w:tcW w:type="dxa" w:w="1505"/>
          </w:tcPr>
          <w:p>
            <w:pPr>
              <w:spacing w:after="0"/>
            </w:pPr>
            <w:r>
              <w:rPr>
                <w:sz w:val="19"/>
              </w:rPr>
              <w:t>Цель (конверсия)</w:t>
            </w:r>
          </w:p>
        </w:tc>
        <w:tc>
          <w:tcPr>
            <w:tcW w:type="dxa" w:w="7906"/>
          </w:tcPr>
          <w:p>
            <w:pPr>
              <w:spacing w:after="0"/>
            </w:pPr>
            <w:r>
              <w:rPr>
                <w:sz w:val="19"/>
              </w:rPr>
              <w:t>первая ставка в казино (</w:t>
            </w:r>
            <w:r>
              <w:rPr>
                <w:rFonts w:ascii="Consolas" w:hAnsi="Consolas"/>
                <w:color w:val="552B00"/>
                <w:sz w:val="19"/>
              </w:rPr>
              <w:t>casino_first_bet</w:t>
            </w:r>
            <w:r>
              <w:rPr>
                <w:sz w:val="19"/>
              </w:rPr>
              <w:t>) за 14 дней</w:t>
            </w:r>
          </w:p>
        </w:tc>
      </w:tr>
      <w:tr>
        <w:tc>
          <w:tcPr>
            <w:tcW w:type="dxa" w:w="1505"/>
          </w:tcPr>
          <w:p>
            <w:pPr>
              <w:spacing w:after="0"/>
            </w:pPr>
            <w:r>
              <w:rPr>
                <w:sz w:val="19"/>
              </w:rPr>
              <w:t>Выход</w:t>
            </w:r>
          </w:p>
        </w:tc>
        <w:tc>
          <w:tcPr>
            <w:tcW w:type="dxa" w:w="7906"/>
          </w:tcPr>
          <w:p>
            <w:pPr>
              <w:spacing w:after="0"/>
            </w:pPr>
            <w:r>
              <w:rPr>
                <w:sz w:val="19"/>
              </w:rPr>
              <w:t>первая ставка в казино; самоисключение или тайм-аут; RG-риск вырос; 14-й день</w:t>
            </w:r>
          </w:p>
        </w:tc>
      </w:tr>
      <w:tr>
        <w:tc>
          <w:tcPr>
            <w:tcW w:type="dxa" w:w="1505"/>
          </w:tcPr>
          <w:p>
            <w:pPr>
              <w:spacing w:after="0"/>
            </w:pPr>
            <w:r>
              <w:rPr>
                <w:sz w:val="19"/>
              </w:rPr>
              <w:t>Приоритет</w:t>
            </w:r>
          </w:p>
        </w:tc>
        <w:tc>
          <w:tcPr>
            <w:tcW w:type="dxa" w:w="7906"/>
          </w:tcPr>
          <w:p>
            <w:pPr>
              <w:spacing w:after="0"/>
            </w:pPr>
            <w:r>
              <w:rPr>
                <w:sz w:val="19"/>
              </w:rPr>
              <w:t>самый низкий среди промо-кампаний; не запускается, если игрок в любом другом промо-сценарии</w:t>
            </w:r>
          </w:p>
        </w:tc>
      </w:tr>
      <w:tr>
        <w:tc>
          <w:tcPr>
            <w:tcW w:type="dxa" w:w="1505"/>
          </w:tcPr>
          <w:p>
            <w:pPr>
              <w:spacing w:after="0"/>
            </w:pPr>
            <w:r>
              <w:rPr>
                <w:sz w:val="19"/>
              </w:rPr>
              <w:t>Каналы</w:t>
            </w:r>
          </w:p>
        </w:tc>
        <w:tc>
          <w:tcPr>
            <w:tcW w:type="dxa" w:w="7906"/>
          </w:tcPr>
          <w:p>
            <w:pPr>
              <w:spacing w:after="0"/>
            </w:pPr>
            <w:r>
              <w:rPr>
                <w:sz w:val="19"/>
              </w:rPr>
              <w:t>in-app, email, push</w:t>
            </w:r>
          </w:p>
        </w:tc>
      </w:tr>
      <w:tr>
        <w:tc>
          <w:tcPr>
            <w:tcW w:type="dxa" w:w="1505"/>
          </w:tcPr>
          <w:p>
            <w:pPr>
              <w:spacing w:after="0"/>
            </w:pPr>
            <w:r>
              <w:rPr>
                <w:sz w:val="19"/>
              </w:rPr>
              <w:t>Холдаут</w:t>
            </w:r>
          </w:p>
        </w:tc>
        <w:tc>
          <w:tcPr>
            <w:tcW w:type="dxa" w:w="7906"/>
          </w:tcPr>
          <w:p>
            <w:pPr>
              <w:spacing w:after="0"/>
            </w:pPr>
            <w:r>
              <w:rPr>
                <w:sz w:val="19"/>
              </w:rPr>
              <w:t>20% (базовая конверсия низкая, нужен контроль побольше)</w:t>
            </w:r>
          </w:p>
        </w:tc>
      </w:tr>
      <w:tr>
        <w:tc>
          <w:tcPr>
            <w:tcW w:type="dxa" w:w="1505"/>
          </w:tcPr>
          <w:p>
            <w:pPr>
              <w:spacing w:after="0"/>
            </w:pPr>
            <w:r>
              <w:rPr>
                <w:sz w:val="19"/>
              </w:rPr>
              <w:t>Владелец</w:t>
            </w:r>
          </w:p>
        </w:tc>
        <w:tc>
          <w:tcPr>
            <w:tcW w:type="dxa" w:w="7906"/>
          </w:tcPr>
          <w:p>
            <w:pPr>
              <w:spacing w:after="0"/>
            </w:pPr>
            <w:r>
              <w:rPr>
                <w:sz w:val="19"/>
              </w:rPr>
              <w:t>CRM; RG-команда согласует критерии исключения</w:t>
            </w:r>
          </w:p>
        </w:tc>
      </w:tr>
    </w:tbl>
    <w:p>
      <w:pPr>
        <w:spacing w:after="40"/>
      </w:pPr>
    </w:p>
    <w:p>
      <w:pPr>
        <w:pStyle w:val="Heading2"/>
      </w:pPr>
      <w:r/>
      <w:r>
        <w:rPr/>
        <w:t>Аудитория, допуск и исключения</w:t>
      </w:r>
    </w:p>
    <w:p>
      <w:r>
        <w:rPr/>
      </w:r>
      <w:r>
        <w:rPr>
          <w:b/>
        </w:rPr>
        <w:t>Начинать с самых тёплых сегментов:</w:t>
      </w:r>
      <w:r>
        <w:rPr/>
      </w:r>
    </w:p>
    <w:tbl>
      <w:tblPr>
        <w:tblStyle w:val="TableGrid"/>
        <w:tblW w:type="auto" w:w="0"/>
        <w:jc w:val="center"/>
        <w:tblLayout w:type="fixed"/>
        <w:tblLook w:firstColumn="1" w:firstRow="1" w:lastColumn="0" w:lastRow="0" w:noHBand="0" w:noVBand="1" w:val="04A0"/>
      </w:tblPr>
      <w:tblGrid>
        <w:gridCol w:w="3447"/>
        <w:gridCol w:w="3002"/>
        <w:gridCol w:w="2962"/>
      </w:tblGrid>
      <w:tr>
        <w:tc>
          <w:tcPr>
            <w:tcW w:type="dxa" w:w="3447"/>
            <w:shd w:val="clear" w:color="auto" w:fill="DCE4EE"/>
          </w:tcPr>
          <w:p>
            <w:pPr>
              <w:spacing w:after="0"/>
            </w:pPr>
            <w:r>
              <w:rPr>
                <w:b/>
                <w:sz w:val="19"/>
              </w:rPr>
              <w:t>Сегмент</w:t>
            </w:r>
          </w:p>
        </w:tc>
        <w:tc>
          <w:tcPr>
            <w:tcW w:type="dxa" w:w="3002"/>
            <w:shd w:val="clear" w:color="auto" w:fill="DCE4EE"/>
          </w:tcPr>
          <w:p>
            <w:pPr>
              <w:spacing w:after="0"/>
            </w:pPr>
            <w:r>
              <w:rPr>
                <w:b/>
                <w:sz w:val="19"/>
              </w:rPr>
              <w:t>Ожидаемая реакция</w:t>
            </w:r>
          </w:p>
        </w:tc>
        <w:tc>
          <w:tcPr>
            <w:tcW w:type="dxa" w:w="2962"/>
            <w:shd w:val="clear" w:color="auto" w:fill="DCE4EE"/>
          </w:tcPr>
          <w:p>
            <w:pPr>
              <w:spacing w:after="0"/>
            </w:pPr>
            <w:r>
              <w:rPr>
                <w:b/>
                <w:sz w:val="19"/>
              </w:rPr>
              <w:t>Что делаем</w:t>
            </w:r>
          </w:p>
        </w:tc>
      </w:tr>
      <w:tr>
        <w:tc>
          <w:tcPr>
            <w:tcW w:type="dxa" w:w="3447"/>
          </w:tcPr>
          <w:p>
            <w:pPr>
              <w:spacing w:after="0"/>
            </w:pPr>
            <w:r>
              <w:rPr>
                <w:sz w:val="19"/>
              </w:rPr>
              <w:t>Уже заходили в казино (демо, одна сессия)</w:t>
            </w:r>
          </w:p>
        </w:tc>
        <w:tc>
          <w:tcPr>
            <w:tcW w:type="dxa" w:w="3002"/>
          </w:tcPr>
          <w:p>
            <w:pPr>
              <w:spacing w:after="0"/>
            </w:pPr>
            <w:r>
              <w:rPr>
                <w:sz w:val="19"/>
              </w:rPr>
              <w:t>самый высокий интерес</w:t>
            </w:r>
          </w:p>
        </w:tc>
        <w:tc>
          <w:tcPr>
            <w:tcW w:type="dxa" w:w="2962"/>
          </w:tcPr>
          <w:p>
            <w:pPr>
              <w:spacing w:after="0"/>
            </w:pPr>
            <w:r>
              <w:rPr>
                <w:sz w:val="19"/>
              </w:rPr>
              <w:t>первая волна</w:t>
            </w:r>
          </w:p>
        </w:tc>
      </w:tr>
      <w:tr>
        <w:tc>
          <w:tcPr>
            <w:tcW w:type="dxa" w:w="3447"/>
          </w:tcPr>
          <w:p>
            <w:pPr>
              <w:spacing w:after="0"/>
            </w:pPr>
            <w:r>
              <w:rPr>
                <w:sz w:val="19"/>
              </w:rPr>
              <w:t>Часто ставят на спорт, особенно live</w:t>
            </w:r>
          </w:p>
        </w:tc>
        <w:tc>
          <w:tcPr>
            <w:tcW w:type="dxa" w:w="3002"/>
          </w:tcPr>
          <w:p>
            <w:pPr>
              <w:spacing w:after="0"/>
            </w:pPr>
            <w:r>
              <w:rPr>
                <w:sz w:val="19"/>
              </w:rPr>
              <w:t>вовлечены, им могут зайти быстрые игры</w:t>
            </w:r>
          </w:p>
        </w:tc>
        <w:tc>
          <w:tcPr>
            <w:tcW w:type="dxa" w:w="2962"/>
          </w:tcPr>
          <w:p>
            <w:pPr>
              <w:spacing w:after="0"/>
            </w:pPr>
            <w:r>
              <w:rPr>
                <w:sz w:val="19"/>
              </w:rPr>
              <w:t>вторая волна, если первая окупилась</w:t>
            </w:r>
          </w:p>
        </w:tc>
      </w:tr>
      <w:tr>
        <w:tc>
          <w:tcPr>
            <w:tcW w:type="dxa" w:w="3447"/>
          </w:tcPr>
          <w:p>
            <w:pPr>
              <w:spacing w:after="0"/>
            </w:pPr>
            <w:r>
              <w:rPr>
                <w:sz w:val="19"/>
              </w:rPr>
              <w:t>Ставят только по выходным, под крупные события</w:t>
            </w:r>
          </w:p>
        </w:tc>
        <w:tc>
          <w:tcPr>
            <w:tcW w:type="dxa" w:w="3002"/>
          </w:tcPr>
          <w:p>
            <w:pPr>
              <w:spacing w:after="0"/>
            </w:pPr>
            <w:r>
              <w:rPr>
                <w:sz w:val="19"/>
              </w:rPr>
              <w:t>интерес низкий</w:t>
            </w:r>
          </w:p>
        </w:tc>
        <w:tc>
          <w:tcPr>
            <w:tcW w:type="dxa" w:w="2962"/>
          </w:tcPr>
          <w:p>
            <w:pPr>
              <w:spacing w:after="0"/>
            </w:pPr>
            <w:r>
              <w:rPr>
                <w:sz w:val="19"/>
              </w:rPr>
              <w:t>не трогаем</w:t>
            </w:r>
          </w:p>
        </w:tc>
      </w:tr>
      <w:tr>
        <w:tc>
          <w:tcPr>
            <w:tcW w:type="dxa" w:w="3447"/>
          </w:tcPr>
          <w:p>
            <w:pPr>
              <w:spacing w:after="0"/>
            </w:pPr>
            <w:r>
              <w:rPr>
                <w:sz w:val="19"/>
              </w:rPr>
              <w:t>Ценные игроки на спорте</w:t>
            </w:r>
          </w:p>
        </w:tc>
        <w:tc>
          <w:tcPr>
            <w:tcW w:type="dxa" w:w="3002"/>
          </w:tcPr>
          <w:p>
            <w:pPr>
              <w:spacing w:after="0"/>
            </w:pPr>
            <w:r>
              <w:rPr>
                <w:sz w:val="19"/>
              </w:rPr>
              <w:t>осторожно: можно задеть основную выручку</w:t>
            </w:r>
          </w:p>
        </w:tc>
        <w:tc>
          <w:tcPr>
            <w:tcW w:type="dxa" w:w="2962"/>
          </w:tcPr>
          <w:p>
            <w:pPr>
              <w:spacing w:after="0"/>
            </w:pPr>
            <w:r>
              <w:rPr>
                <w:sz w:val="19"/>
              </w:rPr>
              <w:t>только после результатов первых волн и с согласия VIP-команды</w:t>
            </w:r>
          </w:p>
        </w:tc>
      </w:tr>
    </w:tbl>
    <w:p>
      <w:pPr>
        <w:spacing w:after="40"/>
      </w:pPr>
    </w:p>
    <w:p>
      <w:pPr>
        <w:pStyle w:val="Heading2"/>
      </w:pPr>
      <w:r/>
      <w:r>
        <w:rPr/>
        <w:t>Сценарий</w:t>
      </w:r>
    </w:p>
    <w:tbl>
      <w:tblPr>
        <w:tblStyle w:val="TableGrid"/>
        <w:tblW w:type="auto" w:w="0"/>
        <w:jc w:val="center"/>
        <w:tblLayout w:type="fixed"/>
        <w:tblLook w:firstColumn="1" w:firstRow="1" w:lastColumn="0" w:lastRow="0" w:noHBand="0" w:noVBand="1" w:val="04A0"/>
      </w:tblPr>
      <w:tblGrid>
        <w:gridCol w:w="878"/>
        <w:gridCol w:w="940"/>
        <w:gridCol w:w="894"/>
        <w:gridCol w:w="4868"/>
        <w:gridCol w:w="1832"/>
      </w:tblGrid>
      <w:tr>
        <w:tc>
          <w:tcPr>
            <w:tcW w:type="dxa" w:w="878"/>
            <w:shd w:val="clear" w:color="auto" w:fill="DCE4EE"/>
          </w:tcPr>
          <w:p>
            <w:pPr>
              <w:spacing w:after="0"/>
            </w:pPr>
            <w:r>
              <w:rPr>
                <w:b/>
                <w:sz w:val="19"/>
              </w:rPr>
              <w:t>№</w:t>
            </w:r>
          </w:p>
        </w:tc>
        <w:tc>
          <w:tcPr>
            <w:tcW w:type="dxa" w:w="940"/>
            <w:shd w:val="clear" w:color="auto" w:fill="DCE4EE"/>
          </w:tcPr>
          <w:p>
            <w:pPr>
              <w:spacing w:after="0"/>
            </w:pPr>
            <w:r>
              <w:rPr>
                <w:b/>
                <w:sz w:val="19"/>
              </w:rPr>
              <w:t>Когда</w:t>
            </w:r>
          </w:p>
        </w:tc>
        <w:tc>
          <w:tcPr>
            <w:tcW w:type="dxa" w:w="894"/>
            <w:shd w:val="clear" w:color="auto" w:fill="DCE4EE"/>
          </w:tcPr>
          <w:p>
            <w:pPr>
              <w:spacing w:after="0"/>
            </w:pPr>
            <w:r>
              <w:rPr>
                <w:b/>
                <w:sz w:val="19"/>
              </w:rPr>
              <w:t>Канал / блок</w:t>
            </w:r>
          </w:p>
        </w:tc>
        <w:tc>
          <w:tcPr>
            <w:tcW w:type="dxa" w:w="4868"/>
            <w:shd w:val="clear" w:color="auto" w:fill="DCE4EE"/>
          </w:tcPr>
          <w:p>
            <w:pPr>
              <w:spacing w:after="0"/>
            </w:pPr>
            <w:r>
              <w:rPr>
                <w:b/>
                <w:sz w:val="19"/>
              </w:rPr>
              <w:t>Содержание</w:t>
            </w:r>
          </w:p>
        </w:tc>
        <w:tc>
          <w:tcPr>
            <w:tcW w:type="dxa" w:w="1832"/>
            <w:shd w:val="clear" w:color="auto" w:fill="DCE4EE"/>
          </w:tcPr>
          <w:p>
            <w:pPr>
              <w:spacing w:after="0"/>
            </w:pPr>
            <w:r>
              <w:rPr>
                <w:b/>
                <w:sz w:val="19"/>
              </w:rPr>
              <w:t>Условие отправки</w:t>
            </w:r>
          </w:p>
        </w:tc>
      </w:tr>
      <w:tr>
        <w:tc>
          <w:tcPr>
            <w:tcW w:type="dxa" w:w="878"/>
          </w:tcPr>
          <w:p>
            <w:pPr>
              <w:spacing w:after="0"/>
            </w:pPr>
            <w:r>
              <w:rPr>
                <w:sz w:val="19"/>
              </w:rPr>
              <w:t>0</w:t>
            </w:r>
          </w:p>
        </w:tc>
        <w:tc>
          <w:tcPr>
            <w:tcW w:type="dxa" w:w="940"/>
          </w:tcPr>
          <w:p>
            <w:pPr>
              <w:spacing w:after="0"/>
            </w:pPr>
            <w:r>
              <w:rPr>
                <w:sz w:val="19"/>
              </w:rPr>
              <w:t>вход</w:t>
            </w:r>
          </w:p>
        </w:tc>
        <w:tc>
          <w:tcPr>
            <w:tcW w:type="dxa" w:w="894"/>
          </w:tcPr>
          <w:p>
            <w:pPr>
              <w:spacing w:after="0"/>
            </w:pPr>
            <w:r>
              <w:rPr>
                <w:sz w:val="19"/>
              </w:rPr>
              <w:t>Случайное деление</w:t>
            </w:r>
          </w:p>
        </w:tc>
        <w:tc>
          <w:tcPr>
            <w:tcW w:type="dxa" w:w="4868"/>
          </w:tcPr>
          <w:p>
            <w:pPr>
              <w:spacing w:after="0"/>
            </w:pPr>
            <w:r>
              <w:rPr>
                <w:sz w:val="19"/>
              </w:rPr>
              <w:t xml:space="preserve">80% - сценарий, 20% - контроль; группа в </w:t>
            </w:r>
            <w:r>
              <w:rPr>
                <w:rFonts w:ascii="Consolas" w:hAnsi="Consolas"/>
                <w:color w:val="552B00"/>
                <w:sz w:val="19"/>
              </w:rPr>
              <w:t>xsell_group</w:t>
            </w:r>
          </w:p>
        </w:tc>
        <w:tc>
          <w:tcPr>
            <w:tcW w:type="dxa" w:w="1832"/>
          </w:tcPr>
          <w:p>
            <w:pPr>
              <w:spacing w:after="0"/>
            </w:pPr>
          </w:p>
        </w:tc>
      </w:tr>
      <w:tr>
        <w:tc>
          <w:tcPr>
            <w:tcW w:type="dxa" w:w="878"/>
          </w:tcPr>
          <w:p>
            <w:pPr>
              <w:spacing w:after="0"/>
            </w:pPr>
            <w:r>
              <w:rPr>
                <w:sz w:val="19"/>
              </w:rPr>
              <w:t>1</w:t>
            </w:r>
          </w:p>
        </w:tc>
        <w:tc>
          <w:tcPr>
            <w:tcW w:type="dxa" w:w="940"/>
          </w:tcPr>
          <w:p>
            <w:pPr>
              <w:spacing w:after="0"/>
            </w:pPr>
            <w:r>
              <w:rPr>
                <w:sz w:val="19"/>
              </w:rPr>
              <w:t>день 0, спокойный момент</w:t>
            </w:r>
          </w:p>
        </w:tc>
        <w:tc>
          <w:tcPr>
            <w:tcW w:type="dxa" w:w="894"/>
          </w:tcPr>
          <w:p>
            <w:pPr>
              <w:spacing w:after="0"/>
            </w:pPr>
            <w:r>
              <w:rPr>
                <w:sz w:val="19"/>
              </w:rPr>
              <w:t>In-app</w:t>
            </w:r>
          </w:p>
        </w:tc>
        <w:tc>
          <w:tcPr>
            <w:tcW w:type="dxa" w:w="4868"/>
          </w:tcPr>
          <w:p>
            <w:pPr>
              <w:spacing w:after="0"/>
            </w:pPr>
            <w:r>
              <w:rPr>
                <w:sz w:val="19"/>
              </w:rPr>
              <w:t>Плитка "Откройте казино": игры, близкие к интересам на спорте (live game shows, быстрые игры)</w:t>
            </w:r>
          </w:p>
        </w:tc>
        <w:tc>
          <w:tcPr>
            <w:tcW w:type="dxa" w:w="1832"/>
          </w:tcPr>
          <w:p>
            <w:pPr>
              <w:spacing w:after="0"/>
            </w:pPr>
            <w:r>
              <w:rPr>
                <w:sz w:val="19"/>
              </w:rPr>
              <w:t>на сайте, нет открытых live-ставок</w:t>
            </w:r>
          </w:p>
        </w:tc>
      </w:tr>
      <w:tr>
        <w:tc>
          <w:tcPr>
            <w:tcW w:type="dxa" w:w="878"/>
          </w:tcPr>
          <w:p>
            <w:pPr>
              <w:spacing w:after="0"/>
            </w:pPr>
            <w:r>
              <w:rPr>
                <w:sz w:val="19"/>
              </w:rPr>
              <w:t>2</w:t>
            </w:r>
          </w:p>
        </w:tc>
        <w:tc>
          <w:tcPr>
            <w:tcW w:type="dxa" w:w="940"/>
          </w:tcPr>
          <w:p>
            <w:pPr>
              <w:spacing w:after="0"/>
            </w:pPr>
            <w:r>
              <w:rPr>
                <w:sz w:val="19"/>
              </w:rPr>
              <w:t>день 2</w:t>
            </w:r>
          </w:p>
        </w:tc>
        <w:tc>
          <w:tcPr>
            <w:tcW w:type="dxa" w:w="894"/>
          </w:tcPr>
          <w:p>
            <w:pPr>
              <w:spacing w:after="0"/>
            </w:pPr>
            <w:r>
              <w:rPr>
                <w:sz w:val="19"/>
              </w:rPr>
              <w:t>Email</w:t>
            </w:r>
          </w:p>
        </w:tc>
        <w:tc>
          <w:tcPr>
            <w:tcW w:type="dxa" w:w="4868"/>
          </w:tcPr>
          <w:p>
            <w:pPr>
              <w:spacing w:after="0"/>
            </w:pPr>
            <w:r>
              <w:rPr>
                <w:sz w:val="19"/>
              </w:rPr>
              <w:t>"Впервые в казино?": как устроено лобби, демо-игры, как поставить лимиты на казино отдельно</w:t>
            </w:r>
          </w:p>
        </w:tc>
        <w:tc>
          <w:tcPr>
            <w:tcW w:type="dxa" w:w="1832"/>
          </w:tcPr>
          <w:p>
            <w:pPr>
              <w:spacing w:after="0"/>
            </w:pPr>
            <w:r>
              <w:rPr>
                <w:sz w:val="19"/>
              </w:rPr>
              <w:t>нет ставки в казино</w:t>
            </w:r>
          </w:p>
        </w:tc>
      </w:tr>
      <w:tr>
        <w:tc>
          <w:tcPr>
            <w:tcW w:type="dxa" w:w="878"/>
          </w:tcPr>
          <w:p>
            <w:pPr>
              <w:spacing w:after="0"/>
            </w:pPr>
            <w:r>
              <w:rPr>
                <w:sz w:val="19"/>
              </w:rPr>
              <w:t>3</w:t>
            </w:r>
          </w:p>
        </w:tc>
        <w:tc>
          <w:tcPr>
            <w:tcW w:type="dxa" w:w="940"/>
          </w:tcPr>
          <w:p>
            <w:pPr>
              <w:spacing w:after="0"/>
            </w:pPr>
            <w:r>
              <w:rPr>
                <w:sz w:val="19"/>
              </w:rPr>
              <w:t>день 5</w:t>
            </w:r>
          </w:p>
        </w:tc>
        <w:tc>
          <w:tcPr>
            <w:tcW w:type="dxa" w:w="894"/>
          </w:tcPr>
          <w:p>
            <w:pPr>
              <w:spacing w:after="0"/>
            </w:pPr>
            <w:r>
              <w:rPr>
                <w:sz w:val="19"/>
              </w:rPr>
              <w:t>Push</w:t>
            </w:r>
          </w:p>
        </w:tc>
        <w:tc>
          <w:tcPr>
            <w:tcW w:type="dxa" w:w="4868"/>
          </w:tcPr>
          <w:p>
            <w:pPr>
              <w:spacing w:after="0"/>
            </w:pPr>
            <w:r>
              <w:rPr>
                <w:sz w:val="19"/>
              </w:rPr>
              <w:t>Небольшие фриспины только для казино, простые условия, отдельно от любых спортивных офферов</w:t>
            </w:r>
          </w:p>
        </w:tc>
        <w:tc>
          <w:tcPr>
            <w:tcW w:type="dxa" w:w="1832"/>
          </w:tcPr>
          <w:p>
            <w:pPr>
              <w:spacing w:after="0"/>
            </w:pPr>
            <w:r>
              <w:rPr>
                <w:sz w:val="19"/>
              </w:rPr>
              <w:t>нет ставки в казино, RG Low, нет флага абьюза</w:t>
            </w:r>
          </w:p>
        </w:tc>
      </w:tr>
      <w:tr>
        <w:tc>
          <w:tcPr>
            <w:tcW w:type="dxa" w:w="878"/>
          </w:tcPr>
          <w:p>
            <w:pPr>
              <w:spacing w:after="0"/>
            </w:pPr>
            <w:r>
              <w:rPr>
                <w:sz w:val="19"/>
              </w:rPr>
              <w:t>4</w:t>
            </w:r>
          </w:p>
        </w:tc>
        <w:tc>
          <w:tcPr>
            <w:tcW w:type="dxa" w:w="940"/>
          </w:tcPr>
          <w:p>
            <w:pPr>
              <w:spacing w:after="0"/>
            </w:pPr>
            <w:r>
              <w:rPr>
                <w:sz w:val="19"/>
              </w:rPr>
              <w:t>день 14</w:t>
            </w:r>
          </w:p>
        </w:tc>
        <w:tc>
          <w:tcPr>
            <w:tcW w:type="dxa" w:w="894"/>
          </w:tcPr>
          <w:p>
            <w:pPr>
              <w:spacing w:after="0"/>
            </w:pPr>
            <w:r>
              <w:rPr>
                <w:sz w:val="19"/>
              </w:rPr>
              <w:t>Выход</w:t>
            </w:r>
          </w:p>
        </w:tc>
        <w:tc>
          <w:tcPr>
            <w:tcW w:type="dxa" w:w="4868"/>
          </w:tcPr>
          <w:p>
            <w:pPr>
              <w:spacing w:after="0"/>
            </w:pPr>
            <w:r>
              <w:rPr>
                <w:sz w:val="19"/>
              </w:rPr>
              <w:t>Сконвертированные идут в обычную коммуникацию с учётом нового продукта</w:t>
            </w:r>
          </w:p>
        </w:tc>
        <w:tc>
          <w:tcPr>
            <w:tcW w:type="dxa" w:w="1832"/>
          </w:tcPr>
          <w:p>
            <w:pPr>
              <w:spacing w:after="0"/>
            </w:pPr>
          </w:p>
        </w:tc>
      </w:tr>
    </w:tbl>
    <w:p>
      <w:pPr>
        <w:spacing w:after="40"/>
      </w:pPr>
    </w:p>
    <w:p>
      <w:pPr>
        <w:pStyle w:val="Heading2"/>
      </w:pPr>
      <w:r/>
      <w:r>
        <w:rPr/>
        <w:t>Офферы</w:t>
      </w:r>
    </w:p>
    <w:p>
      <w:pPr>
        <w:tabs>
          <w:tab w:pos="397" w:val="left"/>
        </w:tabs>
        <w:spacing w:after="40"/>
        <w:ind w:left="397" w:hanging="283"/>
      </w:pPr>
      <w:r>
        <w:t>•</w:t>
        <w:tab/>
      </w:r>
      <w:r>
        <w:rPr/>
        <w:t>Один продукт на один стимул. Фриспины - предложение только для казино, без общего бонуса на спорт и казино.</w:t>
      </w:r>
    </w:p>
    <w:p>
      <w:pPr>
        <w:tabs>
          <w:tab w:pos="397" w:val="left"/>
        </w:tabs>
        <w:spacing w:after="40"/>
        <w:ind w:left="397" w:hanging="283"/>
      </w:pPr>
      <w:r>
        <w:t>•</w:t>
        <w:tab/>
      </w:r>
      <w:r>
        <w:rPr/>
        <w:t>Стимул только на шаге 3 и только тем, кто не попробовал казино после контента.</w:t>
      </w:r>
    </w:p>
    <w:p>
      <w:pPr>
        <w:tabs>
          <w:tab w:pos="397" w:val="left"/>
        </w:tabs>
        <w:spacing w:after="40"/>
        <w:ind w:left="397" w:hanging="283"/>
      </w:pPr>
      <w:r>
        <w:t>•</w:t>
        <w:tab/>
      </w:r>
      <w:r>
        <w:rPr/>
        <w:t>Небольшой размер и лимит выигрыша: задача - дать попробовать.</w:t>
      </w:r>
    </w:p>
    <w:p>
      <w:pPr>
        <w:pStyle w:val="Heading2"/>
      </w:pPr>
      <w:r/>
      <w:r>
        <w:rPr/>
        <w:t>Измерение</w:t>
      </w:r>
    </w:p>
    <w:tbl>
      <w:tblPr>
        <w:tblStyle w:val="TableGrid"/>
        <w:tblW w:type="auto" w:w="0"/>
        <w:jc w:val="center"/>
        <w:tblLayout w:type="fixed"/>
        <w:tblLook w:firstColumn="1" w:firstRow="1" w:lastColumn="0" w:lastRow="0" w:noHBand="0" w:noVBand="1" w:val="04A0"/>
      </w:tblPr>
      <w:tblGrid>
        <w:gridCol w:w="6553"/>
        <w:gridCol w:w="2858"/>
      </w:tblGrid>
      <w:tr>
        <w:tc>
          <w:tcPr>
            <w:tcW w:type="dxa" w:w="6553"/>
            <w:shd w:val="clear" w:color="auto" w:fill="DCE4EE"/>
          </w:tcPr>
          <w:p>
            <w:pPr>
              <w:spacing w:after="0"/>
            </w:pPr>
            <w:r>
              <w:rPr>
                <w:b/>
                <w:sz w:val="19"/>
              </w:rPr>
              <w:t>Метрика</w:t>
            </w:r>
          </w:p>
        </w:tc>
        <w:tc>
          <w:tcPr>
            <w:tcW w:type="dxa" w:w="2858"/>
            <w:shd w:val="clear" w:color="auto" w:fill="DCE4EE"/>
          </w:tcPr>
          <w:p>
            <w:pPr>
              <w:spacing w:after="0"/>
            </w:pPr>
            <w:r>
              <w:rPr>
                <w:b/>
                <w:sz w:val="19"/>
              </w:rPr>
              <w:t>Что показывает</w:t>
            </w:r>
          </w:p>
        </w:tc>
      </w:tr>
      <w:tr>
        <w:tc>
          <w:tcPr>
            <w:tcW w:type="dxa" w:w="6553"/>
          </w:tcPr>
          <w:p>
            <w:pPr>
              <w:spacing w:after="0"/>
            </w:pPr>
            <w:r>
              <w:rPr>
                <w:sz w:val="19"/>
              </w:rPr>
            </w:r>
            <w:r>
              <w:rPr>
                <w:b/>
                <w:sz w:val="19"/>
              </w:rPr>
              <w:t>Главная:</w:t>
            </w:r>
            <w:r>
              <w:rPr>
                <w:sz w:val="19"/>
              </w:rPr>
              <w:t xml:space="preserve"> первая ставка в казино за 14 дней</w:t>
            </w:r>
          </w:p>
        </w:tc>
        <w:tc>
          <w:tcPr>
            <w:tcW w:type="dxa" w:w="2858"/>
          </w:tcPr>
          <w:p>
            <w:pPr>
              <w:spacing w:after="0"/>
            </w:pPr>
            <w:r>
              <w:rPr>
                <w:sz w:val="19"/>
              </w:rPr>
              <w:t>срабатывает ли знакомство</w:t>
            </w:r>
          </w:p>
        </w:tc>
      </w:tr>
      <w:tr>
        <w:tc>
          <w:tcPr>
            <w:tcW w:type="dxa" w:w="6553"/>
          </w:tcPr>
          <w:p>
            <w:pPr>
              <w:spacing w:after="0"/>
            </w:pPr>
            <w:r>
              <w:rPr>
                <w:sz w:val="19"/>
              </w:rPr>
            </w:r>
            <w:r>
              <w:rPr>
                <w:b/>
                <w:sz w:val="19"/>
              </w:rPr>
              <w:t>Метрика для решения:</w:t>
            </w:r>
            <w:r>
              <w:rPr>
                <w:sz w:val="19"/>
              </w:rPr>
              <w:t xml:space="preserve"> общий NGR на игрока (спорт + казино) за 60 дней, тест против контроля</w:t>
            </w:r>
          </w:p>
        </w:tc>
        <w:tc>
          <w:tcPr>
            <w:tcW w:type="dxa" w:w="2858"/>
          </w:tcPr>
          <w:p>
            <w:pPr>
              <w:spacing w:after="0"/>
            </w:pPr>
            <w:r>
              <w:rPr>
                <w:sz w:val="19"/>
              </w:rPr>
              <w:t>создаёт ли кампания ценность</w:t>
            </w:r>
          </w:p>
        </w:tc>
      </w:tr>
      <w:tr>
        <w:tc>
          <w:tcPr>
            <w:tcW w:type="dxa" w:w="6553"/>
          </w:tcPr>
          <w:p>
            <w:pPr>
              <w:spacing w:after="0"/>
            </w:pPr>
            <w:r>
              <w:rPr>
                <w:sz w:val="19"/>
              </w:rPr>
              <w:t>NGR на спорте отдельно, тест против контроля</w:t>
            </w:r>
          </w:p>
        </w:tc>
        <w:tc>
          <w:tcPr>
            <w:tcW w:type="dxa" w:w="2858"/>
          </w:tcPr>
          <w:p>
            <w:pPr>
              <w:spacing w:after="0"/>
            </w:pPr>
            <w:r>
              <w:rPr>
                <w:sz w:val="19"/>
              </w:rPr>
              <w:t>есть ли каннибализация</w:t>
            </w:r>
          </w:p>
        </w:tc>
      </w:tr>
      <w:tr>
        <w:tc>
          <w:tcPr>
            <w:tcW w:type="dxa" w:w="6553"/>
          </w:tcPr>
          <w:p>
            <w:pPr>
              <w:spacing w:after="0"/>
            </w:pPr>
            <w:r>
              <w:rPr>
                <w:sz w:val="19"/>
              </w:rPr>
            </w:r>
            <w:r>
              <w:rPr>
                <w:b/>
                <w:sz w:val="19"/>
              </w:rPr>
              <w:t>Защитные:</w:t>
            </w:r>
            <w:r>
              <w:rPr>
                <w:sz w:val="19"/>
              </w:rPr>
              <w:t xml:space="preserve"> переходы между RG-уровнями среди сконвертированных, отказы от маркетинга казино</w:t>
            </w:r>
          </w:p>
        </w:tc>
        <w:tc>
          <w:tcPr>
            <w:tcW w:type="dxa" w:w="2858"/>
          </w:tcPr>
          <w:p>
            <w:pPr>
              <w:spacing w:after="0"/>
            </w:pPr>
            <w:r>
              <w:rPr>
                <w:sz w:val="19"/>
              </w:rPr>
              <w:t>вред и раздражение</w:t>
            </w:r>
          </w:p>
        </w:tc>
      </w:tr>
    </w:tbl>
    <w:p>
      <w:pPr>
        <w:spacing w:after="40"/>
      </w:pPr>
    </w:p>
    <w:p>
      <w:pPr>
        <w:tabs>
          <w:tab w:pos="397" w:val="left"/>
        </w:tabs>
        <w:spacing w:after="40"/>
        <w:ind w:left="397" w:hanging="283"/>
      </w:pPr>
      <w:r>
        <w:t>•</w:t>
        <w:tab/>
      </w:r>
      <w:r>
        <w:rPr/>
      </w:r>
      <w:r>
        <w:rPr>
          <w:b/>
        </w:rPr>
        <w:t>Как читать:</w:t>
      </w:r>
      <w:r>
        <w:rPr/>
        <w:t xml:space="preserve"> если NGR казино вырос ровно на столько, на сколько упал спорт, кампания ничего не создала.</w:t>
      </w:r>
    </w:p>
    <w:p>
      <w:pPr>
        <w:tabs>
          <w:tab w:pos="397" w:val="left"/>
        </w:tabs>
        <w:spacing w:after="40"/>
        <w:ind w:left="397" w:hanging="283"/>
      </w:pPr>
      <w:r>
        <w:t>•</w:t>
        <w:tab/>
      </w:r>
      <w:r>
        <w:rPr/>
      </w:r>
      <w:r>
        <w:rPr>
          <w:b/>
        </w:rPr>
        <w:t>Холдаут 20%</w:t>
      </w:r>
      <w:r>
        <w:rPr/>
        <w:t>, решение принимается не раньше 60 дней после волны.</w:t>
      </w:r>
    </w:p>
    <w:p>
      <w:pPr>
        <w:tabs>
          <w:tab w:pos="397" w:val="left"/>
        </w:tabs>
        <w:spacing w:after="40"/>
        <w:ind w:left="397" w:hanging="283"/>
      </w:pPr>
      <w:r>
        <w:t>•</w:t>
        <w:tab/>
      </w:r>
      <w:r>
        <w:rPr/>
      </w:r>
      <w:r>
        <w:rPr>
          <w:b/>
        </w:rPr>
        <w:t>Отчёт:</w:t>
      </w:r>
      <w:r>
        <w:rPr/>
        <w:t xml:space="preserve"> конверсия по волнам еженедельно, деньги и RG через 60 дней.</w:t>
      </w:r>
    </w:p>
    <w:p>
      <w:r>
        <w:br w:type="page"/>
      </w:r>
    </w:p>
    <w:p>
      <w:pPr>
        <w:pStyle w:val="Heading2"/>
      </w:pPr>
      <w:r>
        <w:t>Приложение: воркфлоу в Customer.io</w:t>
      </w:r>
    </w:p>
    <w:p>
      <w:r>
        <w:drawing>
          <wp:inline xmlns:a="http://schemas.openxmlformats.org/drawingml/2006/main" xmlns:pic="http://schemas.openxmlformats.org/drawingml/2006/picture">
            <wp:extent cx="4585781" cy="8351999"/>
            <wp:docPr id="1" name="Picture 1"/>
            <wp:cNvGraphicFramePr>
              <a:graphicFrameLocks noChangeAspect="1"/>
            </wp:cNvGraphicFramePr>
            <a:graphic>
              <a:graphicData uri="http://schemas.openxmlformats.org/drawingml/2006/picture">
                <pic:pic>
                  <pic:nvPicPr>
                    <pic:cNvPr id="0" name="06-sportsbook-to-casino-cross-sell.png"/>
                    <pic:cNvPicPr/>
                  </pic:nvPicPr>
                  <pic:blipFill>
                    <a:blip r:embed="rId9"/>
                    <a:stretch>
                      <a:fillRect/>
                    </a:stretch>
                  </pic:blipFill>
                  <pic:spPr>
                    <a:xfrm>
                      <a:off x="0" y="0"/>
                      <a:ext cx="4585781" cy="8351999"/>
                    </a:xfrm>
                    <a:prstGeom prst="rect"/>
                  </pic:spPr>
                </pic:pic>
              </a:graphicData>
            </a:graphic>
          </wp:inline>
        </w:drawing>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 w:eastAsiaTheme="majorEastAsia" w:hAnsiTheme=""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 w:eastAsiaTheme="majorEastAsia" w:hAnsiTheme="" w:cstheme="majorBidi" w:ascii="Calibri" w:hAnsi="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 w:eastAsiaTheme="majorEastAsia" w:hAnsiTheme=""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