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Ответственная игра и бонус-абьюз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  <w:t>Первый вопрос CRM: "можно ли писать этому игроку?", второй: "нужно ли?", и только третий: "что отправить?"</w:t>
      </w:r>
    </w:p>
    <w:p>
      <w:pPr>
        <w:pStyle w:val="Heading2"/>
      </w:pPr>
      <w:r/>
      <w:r>
        <w:rPr/>
        <w:t>Почему это часть CRM-портфолио</w:t>
      </w:r>
    </w:p>
    <w:p>
      <w:r>
        <w:rPr/>
        <w:t>Аудиторию контролирует CRM. Если промо получил самоисключённый игрок или группа абьюзеров, есть проблема в воркфлоу, рассылках или логике.</w:t>
      </w:r>
    </w:p>
    <w:p>
      <w:r>
        <w:rPr/>
        <w:t>Я проходил обучение по AML, KYC и предотвращению фрода (SumSub, Casino Guru Academy). Для работы CRM использую полученный опыт.</w:t>
      </w:r>
    </w:p>
    <w:p>
      <w:pPr>
        <w:pStyle w:val="Heading2"/>
      </w:pPr>
      <w:r/>
      <w:r>
        <w:rPr/>
        <w:t>Часть 1. Маркеры вреда</w:t>
      </w:r>
    </w:p>
    <w:p>
      <w:r>
        <w:rPr/>
        <w:t>UK Gambling Commission в своём руководстве по работе с игроками (</w:t>
      </w:r>
      <w:r>
        <w:rPr/>
        <w:t>Customer interaction guidance</w:t>
      </w:r>
      <w:r>
        <w:rPr/>
        <w:t>) делит индикаторы вреда на семь областей. Я пользуюсь ими как чек-листом, потому что они хорошо описывают поведение: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8"/>
        <w:gridCol w:w="6823"/>
      </w:tblGrid>
      <w:tr>
        <w:tc>
          <w:tcPr>
            <w:tcW w:type="dxa" w:w="258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Область</w:t>
            </w:r>
          </w:p>
        </w:tc>
        <w:tc>
          <w:tcPr>
            <w:tcW w:type="dxa" w:w="682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Примеры, на что смотреть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>
              <w:rPr>
                <w:sz w:val="19"/>
              </w:rPr>
              <w:t>a. Траты</w:t>
            </w:r>
          </w:p>
        </w:tc>
        <w:tc>
          <w:tcPr>
            <w:tcW w:type="dxa" w:w="6823"/>
          </w:tcPr>
          <w:p>
            <w:pPr>
              <w:spacing w:after="0"/>
            </w:pPr>
            <w:r>
              <w:rPr>
                <w:sz w:val="19"/>
              </w:rPr>
              <w:t>траты сильно выше привычного уровня самого игрока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>
              <w:rPr>
                <w:sz w:val="19"/>
              </w:rPr>
              <w:t>b. Паттерны трат</w:t>
            </w:r>
          </w:p>
        </w:tc>
        <w:tc>
          <w:tcPr>
            <w:tcW w:type="dxa" w:w="6823"/>
          </w:tcPr>
          <w:p>
            <w:pPr>
              <w:spacing w:after="0"/>
            </w:pPr>
            <w:r>
              <w:rPr>
                <w:sz w:val="19"/>
              </w:rPr>
              <w:t>резкий рост, игровые запои, депозиты сразу после зарплаты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>
              <w:rPr>
                <w:sz w:val="19"/>
              </w:rPr>
              <w:t>c. Время</w:t>
            </w:r>
          </w:p>
        </w:tc>
        <w:tc>
          <w:tcPr>
            <w:tcW w:type="dxa" w:w="6823"/>
          </w:tcPr>
          <w:p>
            <w:pPr>
              <w:spacing w:after="0"/>
            </w:pPr>
            <w:r>
              <w:rPr>
                <w:sz w:val="19"/>
              </w:rPr>
              <w:t>долгие сессии, много игры ночью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>
              <w:rPr>
                <w:sz w:val="19"/>
              </w:rPr>
              <w:t>d. Игровое поведение</w:t>
            </w:r>
          </w:p>
        </w:tc>
        <w:tc>
          <w:tcPr>
            <w:tcW w:type="dxa" w:w="6823"/>
          </w:tcPr>
          <w:p>
            <w:pPr>
              <w:spacing w:after="0"/>
            </w:pPr>
            <w:r>
              <w:rPr>
                <w:sz w:val="19"/>
              </w:rPr>
              <w:t>попытки отыграться, хаотичные ставки, несколько продуктов одновременно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>
              <w:rPr>
                <w:sz w:val="19"/>
              </w:rPr>
              <w:t>e. Обращения от игрока</w:t>
            </w:r>
          </w:p>
        </w:tc>
        <w:tc>
          <w:tcPr>
            <w:tcW w:type="dxa" w:w="6823"/>
          </w:tcPr>
          <w:p>
            <w:pPr>
              <w:spacing w:after="0"/>
            </w:pPr>
            <w:r>
              <w:rPr>
                <w:sz w:val="19"/>
              </w:rPr>
              <w:t>жалобы на проигрыши, просьбы о бонусах после проигрышей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>
              <w:rPr>
                <w:sz w:val="19"/>
              </w:rPr>
              <w:t>f. Использование инструментов контроля</w:t>
            </w:r>
          </w:p>
        </w:tc>
        <w:tc>
          <w:tcPr>
            <w:tcW w:type="dxa" w:w="6823"/>
          </w:tcPr>
          <w:p>
            <w:pPr>
              <w:spacing w:after="0"/>
            </w:pPr>
            <w:r>
              <w:rPr>
                <w:sz w:val="19"/>
              </w:rPr>
              <w:t>повышение лимитов, повторные тайм-ауты, самоисключение в прошлом</w:t>
            </w:r>
          </w:p>
        </w:tc>
      </w:tr>
      <w:tr>
        <w:tc>
          <w:tcPr>
            <w:tcW w:type="dxa" w:w="2588"/>
          </w:tcPr>
          <w:p>
            <w:pPr>
              <w:spacing w:after="0"/>
            </w:pPr>
            <w:r>
              <w:rPr>
                <w:sz w:val="19"/>
              </w:rPr>
              <w:t>g. Признаки в аккаунте</w:t>
            </w:r>
          </w:p>
        </w:tc>
        <w:tc>
          <w:tcPr>
            <w:tcW w:type="dxa" w:w="6823"/>
          </w:tcPr>
          <w:p>
            <w:pPr>
              <w:spacing w:after="0"/>
            </w:pPr>
            <w:r>
              <w:rPr>
                <w:sz w:val="19"/>
              </w:rPr>
              <w:t>повторные неудачные депозиты, много платёжных методов, отмена вывода, чтобы продолжить игру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/>
        <w:t>Простой скоринг маркеров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69"/>
        <w:gridCol w:w="1621"/>
        <w:gridCol w:w="1621"/>
      </w:tblGrid>
      <w:tr>
        <w:tc>
          <w:tcPr>
            <w:tcW w:type="dxa" w:w="616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Маркер</w:t>
            </w:r>
          </w:p>
        </w:tc>
        <w:tc>
          <w:tcPr>
            <w:tcW w:type="dxa" w:w="162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Область</w:t>
            </w:r>
          </w:p>
        </w:tc>
        <w:tc>
          <w:tcPr>
            <w:tcW w:type="dxa" w:w="162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Баллы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Депозиты выросли вдвое относительно собственного недавнего среднего (и выше минимальной суммы)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a/b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Три и больше депозита за день, больше одного раза в месяц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b/d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Большая доля сессий начинается между полуночью и 6 утра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Длина сессии вдвое больше обычной для игрока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Обращался в поддержку из-за проигрышей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e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Повысил лимит депозита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Повторные тайм-ауты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Несколько неудачных депозитов за месяц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Отменил вывод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169"/>
          </w:tcPr>
          <w:p>
            <w:pPr>
              <w:spacing w:after="0"/>
            </w:pPr>
            <w:r>
              <w:rPr>
                <w:sz w:val="19"/>
              </w:rPr>
              <w:t>Три и больше платёжных метода за месяц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type="dxa" w:w="1621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High (5+):</w:t>
      </w:r>
      <w:r>
        <w:rPr/>
        <w:t xml:space="preserve"> промо останавливаются; любое взаимодействие решает команда безопасной игры.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Medium (2-4):</w:t>
      </w:r>
      <w:r>
        <w:rPr/>
        <w:t xml:space="preserve"> никаких офферов с ограничением по времени или привязкой к депозиту, частота ниже.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Low (&lt;2):</w:t>
      </w:r>
      <w:r>
        <w:rPr/>
        <w:t xml:space="preserve"> обычный режим.</w:t>
      </w:r>
    </w:p>
    <w:p>
      <w:r>
        <w:rPr/>
        <w:t>Пороги условные. В реальной компании они принадлежат команде безопасной игры и калибруются на её собственных кейсах.</w:t>
      </w:r>
    </w:p>
    <w:p>
      <w:pPr>
        <w:pStyle w:val="Heading3"/>
      </w:pPr>
      <w:r/>
      <w:r>
        <w:rPr/>
        <w:t>Почему эти маркеры и эти веса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Отмена вывода и много платёжных методов</w:t>
      </w:r>
      <w:r>
        <w:rPr/>
        <w:t xml:space="preserve"> говорят о многом: игрок забирает обратно деньги, которые уже решил вывести, или ищет, как обойти отказы и лимиты.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Обращение из-за проигрышей</w:t>
      </w:r>
      <w:r>
        <w:rPr/>
        <w:t xml:space="preserve"> получает больше всего баллов, потому что это игрок сам нам говорит.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Повышение лимита</w:t>
      </w:r>
      <w:r>
        <w:rPr/>
        <w:t xml:space="preserve"> весит больше, чем установка. Поставить лимит - здоровое поведение; поднять его после проигрышей - это признак рискованного поведения.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Ночная игра и удлинение сессий</w:t>
      </w:r>
      <w:r>
        <w:rPr/>
        <w:t xml:space="preserve"> сами по себе слабее, ведь кто-то просто играет поздно, но они усиливают другие сигналы.</w:t>
      </w:r>
    </w:p>
    <w:p>
      <w:pPr>
        <w:pStyle w:val="Heading2"/>
      </w:pPr>
      <w:r/>
      <w:r>
        <w:rPr/>
        <w:t>Часть 2. Политика подавления: кому мы не пишем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Самоисключение</w:t>
      </w:r>
      <w:r>
        <w:rPr/>
        <w:t xml:space="preserve"> -&gt; никакого маркетинга вообще.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Нет согласия на этот продукт и канал</w:t>
      </w:r>
      <w:r>
        <w:rPr/>
        <w:t xml:space="preserve"> -&gt; в этот канал ничего не отправляем.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RG-риск High</w:t>
      </w:r>
      <w:r>
        <w:rPr/>
        <w:t xml:space="preserve"> -&gt; промо останавливаются, вместо них взаимодействие по безопасной игре.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Флаг бонус-абьюза</w:t>
      </w:r>
      <w:r>
        <w:rPr/>
        <w:t xml:space="preserve"> -&gt; никаких бонусов; контент можно.</w:t>
      </w:r>
    </w:p>
    <w:p>
      <w:pPr>
        <w:tabs>
          <w:tab w:pos="397" w:val="left"/>
        </w:tabs>
        <w:spacing w:after="40"/>
        <w:ind w:left="397" w:hanging="283"/>
      </w:pPr>
      <w:r>
        <w:t>5.</w:t>
        <w:tab/>
      </w:r>
      <w:r>
        <w:rPr/>
      </w:r>
      <w:r>
        <w:rPr>
          <w:b/>
        </w:rPr>
        <w:t>RG-риск Medium</w:t>
      </w:r>
      <w:r>
        <w:rPr/>
        <w:t xml:space="preserve"> -&gt; никаких офферов с ограничением по времени или привязкой к депозиту; не больше одного промо в неделю.</w:t>
      </w:r>
    </w:p>
    <w:p>
      <w:pPr>
        <w:tabs>
          <w:tab w:pos="397" w:val="left"/>
        </w:tabs>
        <w:spacing w:after="40"/>
        <w:ind w:left="397" w:hanging="283"/>
      </w:pPr>
      <w:r>
        <w:t>6.</w:t>
        <w:tab/>
      </w:r>
      <w:r>
        <w:rPr/>
      </w:r>
      <w:r>
        <w:rPr>
          <w:b/>
        </w:rPr>
        <w:t>Правила цепочки</w:t>
      </w:r>
      <w:r>
        <w:rPr/>
        <w:t xml:space="preserve"> -&gt; выход при конверсии, общий лимит частоты по всем кампаниям, приоритет кампаний.</w:t>
      </w:r>
    </w:p>
    <w:p>
      <w:pPr>
        <w:pStyle w:val="Heading2"/>
      </w:pPr>
      <w:r/>
      <w:r>
        <w:rPr/>
        <w:t>Часть 3. Бонус-абьюз</w:t>
      </w:r>
    </w:p>
    <w:p>
      <w:r>
        <w:rPr/>
        <w:t>Типичные схемы: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несколько аккаунтов ради одного и того же приветственного бонуса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депозит - бонус - минимальный отыгрыш - вывод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отыгрыш на играх с минимальным преимуществом казино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реферальные схемы с фейковыми друзьями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группы, которые делят устройства и карты.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0"/>
        <w:gridCol w:w="1063"/>
        <w:gridCol w:w="3388"/>
      </w:tblGrid>
      <w:tr>
        <w:tc>
          <w:tcPr>
            <w:tcW w:type="dxa" w:w="496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Сигнал</w:t>
            </w:r>
          </w:p>
        </w:tc>
        <w:tc>
          <w:tcPr>
            <w:tcW w:type="dxa" w:w="106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Баллы</w:t>
            </w:r>
          </w:p>
        </w:tc>
        <w:tc>
          <w:tcPr>
            <w:tcW w:type="dxa" w:w="338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Почему такой вес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sz w:val="19"/>
              </w:rPr>
              <w:t>Общее устройство с другим депозитором</w:t>
            </w:r>
          </w:p>
        </w:tc>
        <w:tc>
          <w:tcPr>
            <w:tcW w:type="dxa" w:w="1063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388"/>
          </w:tcPr>
          <w:p>
            <w:pPr>
              <w:spacing w:after="0"/>
            </w:pPr>
            <w:r>
              <w:rPr>
                <w:sz w:val="19"/>
              </w:rPr>
              <w:t>Семьи и пары тоже делят устройства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sz w:val="19"/>
              </w:rPr>
              <w:t>Общая платёжная карта или кошелёк с другим депозитором</w:t>
            </w:r>
          </w:p>
        </w:tc>
        <w:tc>
          <w:tcPr>
            <w:tcW w:type="dxa" w:w="1063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388"/>
          </w:tcPr>
          <w:p>
            <w:pPr>
              <w:spacing w:after="0"/>
            </w:pPr>
            <w:r>
              <w:rPr>
                <w:sz w:val="19"/>
              </w:rPr>
              <w:t>У честных игроков бывает гораздо реже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sz w:val="19"/>
              </w:rPr>
              <w:t>Вывел в течение 72 ч после отыгрыша бонуса, всего один-два депозита</w:t>
            </w:r>
          </w:p>
        </w:tc>
        <w:tc>
          <w:tcPr>
            <w:tcW w:type="dxa" w:w="1063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388"/>
          </w:tcPr>
          <w:p>
            <w:pPr>
              <w:spacing w:after="0"/>
            </w:pPr>
            <w:r>
              <w:rPr>
                <w:sz w:val="19"/>
              </w:rPr>
              <w:t>Классический паттерн "взял и ушёл"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sz w:val="19"/>
              </w:rPr>
              <w:t>Основная часть ставок в казино во время отыгрыша - на настольных играх с низким преимуществом</w:t>
            </w:r>
          </w:p>
        </w:tc>
        <w:tc>
          <w:tcPr>
            <w:tcW w:type="dxa" w:w="1063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388"/>
          </w:tcPr>
          <w:p>
            <w:pPr>
              <w:spacing w:after="0"/>
            </w:pPr>
            <w:r>
              <w:rPr>
                <w:sz w:val="19"/>
              </w:rPr>
              <w:t>Типично для дешёвого отыгрыша бонусов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sz w:val="19"/>
              </w:rPr>
              <w:t>Вывод по бонусу большой относительно собственных депозитов</w:t>
            </w:r>
          </w:p>
        </w:tc>
        <w:tc>
          <w:tcPr>
            <w:tcW w:type="dxa" w:w="1063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388"/>
          </w:tcPr>
          <w:p>
            <w:pPr>
              <w:spacing w:after="0"/>
            </w:pPr>
            <w:r>
              <w:rPr>
                <w:sz w:val="19"/>
              </w:rPr>
              <w:t>Бонус - главный источник выгоды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sz w:val="19"/>
              </w:rPr>
              <w:t>Активен всего несколько дней</w:t>
            </w:r>
          </w:p>
        </w:tc>
        <w:tc>
          <w:tcPr>
            <w:tcW w:type="dxa" w:w="1063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388"/>
          </w:tcPr>
          <w:p>
            <w:pPr>
              <w:spacing w:after="0"/>
            </w:pPr>
            <w:r>
              <w:rPr>
                <w:sz w:val="19"/>
              </w:rPr>
              <w:t>Нет интереса к самому продукту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4+ баллов:</w:t>
      </w:r>
      <w:r>
        <w:rPr/>
        <w:t xml:space="preserve"> никаких бонусов (аккаунт остаётся открытым; закрывать его или нет, решает фрод-команда).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2-3 балла:</w:t>
      </w:r>
      <w:r>
        <w:rPr/>
        <w:t xml:space="preserve"> ручная проверка.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Связанные аккаунты:</w:t>
      </w:r>
      <w:r>
        <w:rPr/>
        <w:t xml:space="preserve"> связываем аккаунты с общим устройством или платёжным методом и смотрим на кластеры. Три и больше аккаунта на одной карте - гораздо более сильный сигнал, чем два человека на одном ноутбуке.</w:t>
      </w:r>
    </w:p>
    <w:p>
      <w:r>
        <w:rPr/>
        <w:t>Группы абьюзеров подстраиваются: меняют устройства, сидят через VPN и имитируют нормальную игру. Новые правила я бы пару месяцев гонял в режиме "только флаг", сравнивал флаги с решениями фрод-команды и только потом разрешал им что-то блокировать.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